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3B9E8">
      <w:pPr>
        <w:ind w:firstLine="640" w:firstLineChars="200"/>
        <w:rPr>
          <w:rFonts w:cs="Times New Roman"/>
          <w:sz w:val="32"/>
          <w:szCs w:val="32"/>
          <w:highlight w:val="none"/>
        </w:rPr>
      </w:pPr>
    </w:p>
    <w:p w14:paraId="7977D7D1">
      <w:pPr>
        <w:spacing w:line="336" w:lineRule="auto"/>
        <w:jc w:val="center"/>
        <w:rPr>
          <w:rFonts w:ascii="仿宋_GB2312" w:hAnsi="宋体" w:eastAsia="仿宋_GB2312"/>
          <w:sz w:val="32"/>
          <w:szCs w:val="32"/>
          <w:highlight w:val="none"/>
        </w:rPr>
      </w:pPr>
    </w:p>
    <w:p w14:paraId="0B3BC02F">
      <w:pPr>
        <w:spacing w:line="560" w:lineRule="exact"/>
        <w:jc w:val="center"/>
        <w:rPr>
          <w:rFonts w:ascii="宋体" w:hAnsi="宋体"/>
          <w:b/>
          <w:sz w:val="44"/>
          <w:szCs w:val="44"/>
          <w:highlight w:val="none"/>
        </w:rPr>
      </w:pPr>
    </w:p>
    <w:p w14:paraId="61DFC333">
      <w:pPr>
        <w:spacing w:line="560" w:lineRule="exact"/>
        <w:jc w:val="center"/>
        <w:rPr>
          <w:rFonts w:ascii="宋体" w:hAnsi="宋体"/>
          <w:b/>
          <w:sz w:val="44"/>
          <w:szCs w:val="44"/>
          <w:highlight w:val="none"/>
        </w:rPr>
      </w:pPr>
    </w:p>
    <w:p w14:paraId="2DC21410">
      <w:pPr>
        <w:spacing w:line="560" w:lineRule="exact"/>
        <w:jc w:val="center"/>
        <w:rPr>
          <w:rFonts w:ascii="宋体" w:hAnsi="宋体"/>
          <w:b/>
          <w:sz w:val="44"/>
          <w:szCs w:val="44"/>
          <w:highlight w:val="none"/>
        </w:rPr>
      </w:pPr>
      <w:r>
        <w:rPr>
          <w:rFonts w:hint="eastAsia" w:ascii="宋体" w:hAnsi="宋体"/>
          <w:b/>
          <w:sz w:val="44"/>
          <w:szCs w:val="44"/>
          <w:highlight w:val="none"/>
          <w:lang w:val="en-US" w:eastAsia="zh-CN"/>
        </w:rPr>
        <w:t>科尔沁区</w:t>
      </w:r>
      <w:r>
        <w:rPr>
          <w:rFonts w:hint="eastAsia" w:ascii="宋体" w:hAnsi="宋体"/>
          <w:b/>
          <w:sz w:val="44"/>
          <w:szCs w:val="44"/>
          <w:highlight w:val="none"/>
          <w:lang w:eastAsia="zh-CN"/>
        </w:rPr>
        <w:t>通辽经济技术开发区河西街道办事处</w:t>
      </w:r>
      <w:r>
        <w:rPr>
          <w:rFonts w:hint="eastAsia" w:ascii="宋体" w:hAnsi="宋体"/>
          <w:b/>
          <w:sz w:val="44"/>
          <w:szCs w:val="44"/>
          <w:highlight w:val="none"/>
        </w:rPr>
        <w:t>部门</w:t>
      </w:r>
    </w:p>
    <w:p w14:paraId="7B94D687">
      <w:pPr>
        <w:spacing w:line="560" w:lineRule="exact"/>
        <w:jc w:val="center"/>
        <w:rPr>
          <w:rFonts w:ascii="宋体" w:hAnsi="宋体"/>
          <w:b/>
          <w:sz w:val="44"/>
          <w:szCs w:val="44"/>
          <w:highlight w:val="none"/>
        </w:rPr>
      </w:pPr>
      <w:r>
        <w:rPr>
          <w:rFonts w:hint="eastAsia" w:ascii="宋体" w:hAnsi="宋体"/>
          <w:b/>
          <w:sz w:val="44"/>
          <w:szCs w:val="44"/>
          <w:highlight w:val="none"/>
          <w:lang w:eastAsia="zh-CN"/>
        </w:rPr>
        <w:t>202</w:t>
      </w:r>
      <w:r>
        <w:rPr>
          <w:rFonts w:hint="eastAsia" w:ascii="宋体" w:hAnsi="宋体"/>
          <w:b/>
          <w:sz w:val="44"/>
          <w:szCs w:val="44"/>
          <w:highlight w:val="none"/>
          <w:lang w:val="en-US" w:eastAsia="zh-CN"/>
        </w:rPr>
        <w:t>6</w:t>
      </w:r>
      <w:r>
        <w:rPr>
          <w:rFonts w:hint="eastAsia" w:ascii="宋体" w:hAnsi="宋体"/>
          <w:b/>
          <w:sz w:val="44"/>
          <w:szCs w:val="44"/>
          <w:highlight w:val="none"/>
        </w:rPr>
        <w:t>年预算公开报告</w:t>
      </w:r>
    </w:p>
    <w:p w14:paraId="6F364EA4">
      <w:pPr>
        <w:spacing w:line="336" w:lineRule="auto"/>
        <w:jc w:val="center"/>
        <w:rPr>
          <w:rFonts w:ascii="方正小标宋简体" w:eastAsia="方正小标宋简体"/>
          <w:sz w:val="32"/>
          <w:szCs w:val="32"/>
          <w:highlight w:val="none"/>
        </w:rPr>
      </w:pPr>
    </w:p>
    <w:p w14:paraId="0CBCF280">
      <w:pPr>
        <w:spacing w:line="336" w:lineRule="auto"/>
        <w:jc w:val="center"/>
        <w:rPr>
          <w:rFonts w:ascii="方正小标宋简体" w:eastAsia="方正小标宋简体"/>
          <w:sz w:val="32"/>
          <w:szCs w:val="32"/>
          <w:highlight w:val="none"/>
        </w:rPr>
      </w:pPr>
    </w:p>
    <w:p w14:paraId="531DDB8D">
      <w:pPr>
        <w:spacing w:line="336" w:lineRule="auto"/>
        <w:jc w:val="center"/>
        <w:rPr>
          <w:rFonts w:ascii="方正小标宋简体" w:eastAsia="方正小标宋简体"/>
          <w:sz w:val="32"/>
          <w:szCs w:val="32"/>
          <w:highlight w:val="none"/>
        </w:rPr>
      </w:pPr>
    </w:p>
    <w:p w14:paraId="3E074811">
      <w:pPr>
        <w:spacing w:line="336" w:lineRule="auto"/>
        <w:jc w:val="center"/>
        <w:rPr>
          <w:rFonts w:ascii="方正小标宋简体" w:eastAsia="方正小标宋简体"/>
          <w:sz w:val="32"/>
          <w:szCs w:val="32"/>
          <w:highlight w:val="none"/>
        </w:rPr>
      </w:pPr>
    </w:p>
    <w:p w14:paraId="26C9143E">
      <w:pPr>
        <w:spacing w:line="336" w:lineRule="auto"/>
        <w:jc w:val="center"/>
        <w:rPr>
          <w:rFonts w:ascii="方正小标宋简体" w:eastAsia="方正小标宋简体"/>
          <w:sz w:val="32"/>
          <w:szCs w:val="32"/>
          <w:highlight w:val="none"/>
        </w:rPr>
      </w:pPr>
    </w:p>
    <w:p w14:paraId="38B004E2">
      <w:pPr>
        <w:spacing w:line="336" w:lineRule="auto"/>
        <w:jc w:val="center"/>
        <w:rPr>
          <w:rFonts w:ascii="方正小标宋简体" w:eastAsia="方正小标宋简体"/>
          <w:sz w:val="32"/>
          <w:szCs w:val="32"/>
          <w:highlight w:val="none"/>
        </w:rPr>
      </w:pPr>
    </w:p>
    <w:p w14:paraId="5B73DE09">
      <w:pPr>
        <w:spacing w:line="336" w:lineRule="auto"/>
        <w:jc w:val="center"/>
        <w:rPr>
          <w:rFonts w:ascii="方正小标宋简体" w:eastAsia="方正小标宋简体"/>
          <w:sz w:val="32"/>
          <w:szCs w:val="32"/>
          <w:highlight w:val="none"/>
        </w:rPr>
      </w:pPr>
    </w:p>
    <w:p w14:paraId="5914221F">
      <w:pPr>
        <w:spacing w:line="336" w:lineRule="auto"/>
        <w:jc w:val="center"/>
        <w:rPr>
          <w:rFonts w:ascii="方正小标宋简体" w:eastAsia="方正小标宋简体"/>
          <w:sz w:val="32"/>
          <w:szCs w:val="32"/>
          <w:highlight w:val="none"/>
        </w:rPr>
      </w:pPr>
    </w:p>
    <w:p w14:paraId="6F69F995">
      <w:pPr>
        <w:adjustRightInd w:val="0"/>
        <w:snapToGrid w:val="0"/>
        <w:spacing w:line="560" w:lineRule="exact"/>
        <w:jc w:val="center"/>
        <w:rPr>
          <w:rFonts w:ascii="楷体_GB2312" w:hAnsi="宋体" w:eastAsia="楷体_GB2312"/>
          <w:b/>
          <w:color w:val="000000"/>
          <w:sz w:val="36"/>
          <w:szCs w:val="36"/>
          <w:highlight w:val="none"/>
        </w:rPr>
      </w:pPr>
    </w:p>
    <w:p w14:paraId="72EEFB93">
      <w:pPr>
        <w:adjustRightInd w:val="0"/>
        <w:snapToGrid w:val="0"/>
        <w:spacing w:line="560" w:lineRule="exact"/>
        <w:jc w:val="center"/>
        <w:rPr>
          <w:rFonts w:ascii="楷体_GB2312" w:hAnsi="宋体" w:eastAsia="楷体_GB2312"/>
          <w:b/>
          <w:color w:val="000000"/>
          <w:sz w:val="36"/>
          <w:szCs w:val="36"/>
          <w:highlight w:val="none"/>
        </w:rPr>
      </w:pPr>
      <w:bookmarkStart w:id="1" w:name="_GoBack"/>
      <w:bookmarkEnd w:id="1"/>
    </w:p>
    <w:p w14:paraId="5EAD8676">
      <w:pPr>
        <w:adjustRightInd w:val="0"/>
        <w:snapToGrid w:val="0"/>
        <w:spacing w:line="560" w:lineRule="exact"/>
        <w:jc w:val="center"/>
        <w:rPr>
          <w:rFonts w:ascii="楷体_GB2312" w:hAnsi="宋体" w:eastAsia="楷体_GB2312"/>
          <w:b/>
          <w:color w:val="000000"/>
          <w:sz w:val="36"/>
          <w:szCs w:val="36"/>
          <w:highlight w:val="none"/>
        </w:rPr>
      </w:pPr>
      <w:r>
        <w:rPr>
          <w:rFonts w:hint="eastAsia" w:ascii="楷体_GB2312" w:hAnsi="宋体" w:eastAsia="楷体_GB2312"/>
          <w:b/>
          <w:color w:val="000000"/>
          <w:sz w:val="36"/>
          <w:szCs w:val="36"/>
          <w:highlight w:val="none"/>
        </w:rPr>
        <w:t>目  录</w:t>
      </w:r>
    </w:p>
    <w:p w14:paraId="5F271C0A">
      <w:pPr>
        <w:adjustRightInd w:val="0"/>
        <w:snapToGrid w:val="0"/>
        <w:spacing w:line="560" w:lineRule="exact"/>
        <w:jc w:val="left"/>
        <w:rPr>
          <w:rFonts w:ascii="楷体_GB2312" w:hAnsi="宋体" w:eastAsia="楷体_GB2312"/>
          <w:b/>
          <w:color w:val="000000"/>
          <w:sz w:val="32"/>
          <w:szCs w:val="32"/>
          <w:highlight w:val="none"/>
        </w:rPr>
      </w:pPr>
      <w:r>
        <w:rPr>
          <w:rFonts w:hint="eastAsia" w:ascii="楷体_GB2312" w:hAnsi="宋体" w:eastAsia="楷体_GB2312"/>
          <w:b/>
          <w:color w:val="000000"/>
          <w:sz w:val="32"/>
          <w:szCs w:val="32"/>
          <w:highlight w:val="none"/>
        </w:rPr>
        <w:t>第一部分  部门所属单位概况</w:t>
      </w:r>
    </w:p>
    <w:p w14:paraId="474F0BE4">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一、主要职能、职责</w:t>
      </w:r>
    </w:p>
    <w:p w14:paraId="6B7428D1">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二、机构设置及预算单位构成情况</w:t>
      </w:r>
    </w:p>
    <w:p w14:paraId="21867267">
      <w:pPr>
        <w:adjustRightInd w:val="0"/>
        <w:snapToGrid w:val="0"/>
        <w:spacing w:line="560" w:lineRule="exact"/>
        <w:jc w:val="left"/>
        <w:rPr>
          <w:rFonts w:ascii="楷体_GB2312" w:hAnsi="黑体" w:eastAsia="楷体_GB2312"/>
          <w:b/>
          <w:color w:val="000000"/>
          <w:sz w:val="32"/>
          <w:szCs w:val="32"/>
          <w:highlight w:val="none"/>
        </w:rPr>
      </w:pPr>
      <w:r>
        <w:rPr>
          <w:rFonts w:hint="eastAsia" w:ascii="楷体_GB2312" w:hAnsi="黑体" w:eastAsia="楷体_GB2312"/>
          <w:b/>
          <w:color w:val="000000"/>
          <w:sz w:val="32"/>
          <w:szCs w:val="32"/>
          <w:highlight w:val="none"/>
        </w:rPr>
        <w:t xml:space="preserve">第二部分  </w:t>
      </w:r>
      <w:r>
        <w:rPr>
          <w:rFonts w:hint="eastAsia" w:ascii="楷体_GB2312" w:hAnsi="黑体" w:eastAsia="楷体_GB2312"/>
          <w:b/>
          <w:color w:val="000000"/>
          <w:sz w:val="32"/>
          <w:szCs w:val="32"/>
          <w:highlight w:val="none"/>
          <w:lang w:eastAsia="zh-CN"/>
        </w:rPr>
        <w:t>202</w:t>
      </w:r>
      <w:r>
        <w:rPr>
          <w:rFonts w:hint="eastAsia" w:ascii="楷体_GB2312" w:hAnsi="黑体" w:eastAsia="楷体_GB2312"/>
          <w:b/>
          <w:color w:val="000000"/>
          <w:sz w:val="32"/>
          <w:szCs w:val="32"/>
          <w:highlight w:val="none"/>
          <w:lang w:val="en-US" w:eastAsia="zh-CN"/>
        </w:rPr>
        <w:t>6</w:t>
      </w:r>
      <w:r>
        <w:rPr>
          <w:rFonts w:hint="eastAsia" w:ascii="楷体_GB2312" w:hAnsi="黑体" w:eastAsia="楷体_GB2312"/>
          <w:b/>
          <w:color w:val="000000"/>
          <w:sz w:val="32"/>
          <w:szCs w:val="32"/>
          <w:highlight w:val="none"/>
        </w:rPr>
        <w:t>年部门预算安排情况说明</w:t>
      </w:r>
    </w:p>
    <w:p w14:paraId="4FC93BF5">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一、部门预算收支总体情况说明</w:t>
      </w:r>
    </w:p>
    <w:p w14:paraId="5091F24C">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二、一般公共预算财政拨款收支情况说明</w:t>
      </w:r>
    </w:p>
    <w:p w14:paraId="6E43AEAF">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三、政府性基金预算财政拨款支出情况说明</w:t>
      </w:r>
    </w:p>
    <w:p w14:paraId="67B8F527">
      <w:pPr>
        <w:adjustRightInd w:val="0"/>
        <w:snapToGrid w:val="0"/>
        <w:spacing w:line="560" w:lineRule="exact"/>
        <w:ind w:firstLine="640" w:firstLineChars="200"/>
        <w:rPr>
          <w:rFonts w:hint="eastAsia"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四、国有资本经营</w:t>
      </w:r>
      <w:r>
        <w:rPr>
          <w:rFonts w:ascii="楷体_GB2312" w:hAnsi="黑体" w:eastAsia="楷体_GB2312"/>
          <w:color w:val="000000"/>
          <w:sz w:val="32"/>
          <w:szCs w:val="32"/>
          <w:highlight w:val="none"/>
        </w:rPr>
        <w:t>预算</w:t>
      </w:r>
      <w:r>
        <w:rPr>
          <w:rFonts w:hint="eastAsia" w:ascii="楷体_GB2312" w:hAnsi="黑体" w:eastAsia="楷体_GB2312"/>
          <w:color w:val="000000"/>
          <w:sz w:val="32"/>
          <w:szCs w:val="32"/>
          <w:highlight w:val="none"/>
        </w:rPr>
        <w:t>财政拨款支出情况说明</w:t>
      </w:r>
    </w:p>
    <w:p w14:paraId="5899BE65">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五、财政拨款“三公”经费预算情况说明</w:t>
      </w:r>
    </w:p>
    <w:p w14:paraId="5C60AB79">
      <w:pPr>
        <w:adjustRightInd w:val="0"/>
        <w:snapToGrid w:val="0"/>
        <w:spacing w:line="560" w:lineRule="exact"/>
        <w:rPr>
          <w:rFonts w:ascii="楷体_GB2312" w:hAnsi="黑体" w:eastAsia="楷体_GB2312"/>
          <w:b/>
          <w:color w:val="000000"/>
          <w:sz w:val="32"/>
          <w:szCs w:val="32"/>
          <w:highlight w:val="none"/>
        </w:rPr>
      </w:pPr>
      <w:r>
        <w:rPr>
          <w:rFonts w:hint="eastAsia" w:ascii="楷体_GB2312" w:hAnsi="黑体" w:eastAsia="楷体_GB2312"/>
          <w:b/>
          <w:color w:val="000000"/>
          <w:sz w:val="32"/>
          <w:szCs w:val="32"/>
          <w:highlight w:val="none"/>
        </w:rPr>
        <w:t>第三部分  其他公开事项说明</w:t>
      </w:r>
    </w:p>
    <w:p w14:paraId="720A6B84">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一、机关运行经费安排情况说明</w:t>
      </w:r>
    </w:p>
    <w:p w14:paraId="43A668AA">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二、政府采购预算情况说明</w:t>
      </w:r>
    </w:p>
    <w:p w14:paraId="53BEC434">
      <w:pPr>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rPr>
        <w:t>三、国有资产占有使用情况说明</w:t>
      </w:r>
    </w:p>
    <w:p w14:paraId="2A45A027">
      <w:pPr>
        <w:ind w:firstLine="640" w:firstLineChars="200"/>
        <w:rPr>
          <w:rFonts w:ascii="楷体_GB2312" w:hAnsi="黑体" w:eastAsia="楷体_GB2312"/>
          <w:sz w:val="32"/>
          <w:szCs w:val="32"/>
          <w:highlight w:val="none"/>
        </w:rPr>
      </w:pPr>
      <w:r>
        <w:rPr>
          <w:rFonts w:hint="eastAsia" w:ascii="楷体_GB2312" w:hAnsi="黑体" w:eastAsia="楷体_GB2312"/>
          <w:color w:val="000000"/>
          <w:sz w:val="32"/>
          <w:szCs w:val="32"/>
          <w:highlight w:val="none"/>
        </w:rPr>
        <w:t>四、</w:t>
      </w:r>
      <w:r>
        <w:rPr>
          <w:rFonts w:hint="eastAsia" w:ascii="楷体_GB2312" w:hAnsi="黑体" w:eastAsia="楷体_GB2312"/>
          <w:sz w:val="32"/>
          <w:szCs w:val="32"/>
          <w:highlight w:val="none"/>
        </w:rPr>
        <w:t>项目支出绩效目标情况说明</w:t>
      </w:r>
    </w:p>
    <w:p w14:paraId="4BD59CC5">
      <w:pPr>
        <w:adjustRightInd w:val="0"/>
        <w:snapToGrid w:val="0"/>
        <w:spacing w:line="560" w:lineRule="exact"/>
        <w:rPr>
          <w:rFonts w:ascii="楷体_GB2312" w:hAnsi="黑体" w:eastAsia="楷体_GB2312"/>
          <w:b/>
          <w:color w:val="000000"/>
          <w:sz w:val="32"/>
          <w:szCs w:val="32"/>
          <w:highlight w:val="none"/>
        </w:rPr>
      </w:pPr>
      <w:r>
        <w:rPr>
          <w:rFonts w:hint="eastAsia" w:ascii="楷体_GB2312" w:hAnsi="黑体" w:eastAsia="楷体_GB2312"/>
          <w:b/>
          <w:color w:val="000000"/>
          <w:sz w:val="32"/>
          <w:szCs w:val="32"/>
          <w:highlight w:val="none"/>
        </w:rPr>
        <w:t>第四部分  名词解释</w:t>
      </w:r>
    </w:p>
    <w:p w14:paraId="3425467F">
      <w:pPr>
        <w:adjustRightInd w:val="0"/>
        <w:snapToGrid w:val="0"/>
        <w:spacing w:line="560" w:lineRule="exact"/>
        <w:rPr>
          <w:rFonts w:ascii="楷体_GB2312" w:hAnsi="黑体" w:eastAsia="楷体_GB2312"/>
          <w:b/>
          <w:color w:val="000000"/>
          <w:sz w:val="32"/>
          <w:szCs w:val="32"/>
          <w:highlight w:val="none"/>
        </w:rPr>
      </w:pPr>
      <w:r>
        <w:rPr>
          <w:rFonts w:hint="eastAsia" w:ascii="楷体_GB2312" w:hAnsi="黑体" w:eastAsia="楷体_GB2312"/>
          <w:b/>
          <w:color w:val="000000"/>
          <w:sz w:val="32"/>
          <w:szCs w:val="32"/>
          <w:highlight w:val="none"/>
        </w:rPr>
        <w:t>第五部分  预算公开联系方式及信息反馈渠道</w:t>
      </w:r>
    </w:p>
    <w:p w14:paraId="4DDFF850">
      <w:pPr>
        <w:adjustRightInd w:val="0"/>
        <w:snapToGrid w:val="0"/>
        <w:spacing w:line="560" w:lineRule="exact"/>
        <w:rPr>
          <w:rFonts w:ascii="楷体_GB2312" w:hAnsi="黑体" w:eastAsia="楷体_GB2312"/>
          <w:b/>
          <w:color w:val="000000"/>
          <w:sz w:val="32"/>
          <w:szCs w:val="32"/>
          <w:highlight w:val="none"/>
        </w:rPr>
      </w:pPr>
      <w:r>
        <w:rPr>
          <w:rFonts w:hint="eastAsia" w:ascii="楷体_GB2312" w:hAnsi="黑体" w:eastAsia="楷体_GB2312"/>
          <w:b/>
          <w:color w:val="000000"/>
          <w:sz w:val="32"/>
          <w:szCs w:val="32"/>
          <w:highlight w:val="none"/>
        </w:rPr>
        <w:t xml:space="preserve">第六部分  </w:t>
      </w:r>
      <w:r>
        <w:rPr>
          <w:rFonts w:hint="eastAsia" w:ascii="楷体_GB2312" w:hAnsi="黑体" w:eastAsia="楷体_GB2312"/>
          <w:b/>
          <w:color w:val="000000"/>
          <w:sz w:val="32"/>
          <w:szCs w:val="32"/>
          <w:highlight w:val="none"/>
          <w:lang w:eastAsia="zh-CN"/>
        </w:rPr>
        <w:t>202</w:t>
      </w:r>
      <w:r>
        <w:rPr>
          <w:rFonts w:hint="eastAsia" w:ascii="楷体_GB2312" w:hAnsi="黑体" w:eastAsia="楷体_GB2312"/>
          <w:b/>
          <w:color w:val="000000"/>
          <w:sz w:val="32"/>
          <w:szCs w:val="32"/>
          <w:highlight w:val="none"/>
          <w:lang w:val="en-US" w:eastAsia="zh-CN"/>
        </w:rPr>
        <w:t>6</w:t>
      </w:r>
      <w:r>
        <w:rPr>
          <w:rFonts w:hint="eastAsia" w:ascii="楷体_GB2312" w:hAnsi="黑体" w:eastAsia="楷体_GB2312"/>
          <w:b/>
          <w:color w:val="000000"/>
          <w:sz w:val="32"/>
          <w:szCs w:val="32"/>
          <w:highlight w:val="none"/>
        </w:rPr>
        <w:t>年部门预算公开表</w:t>
      </w:r>
    </w:p>
    <w:p w14:paraId="7E43F403">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1.</w:t>
      </w:r>
      <w:r>
        <w:rPr>
          <w:rFonts w:hint="eastAsia" w:ascii="楷体_GB2312" w:hAnsi="黑体" w:eastAsia="楷体_GB2312"/>
          <w:color w:val="000000"/>
          <w:sz w:val="32"/>
          <w:szCs w:val="32"/>
          <w:highlight w:val="none"/>
        </w:rPr>
        <w:t>收支总表</w:t>
      </w:r>
    </w:p>
    <w:p w14:paraId="5CFC6CEA">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2.</w:t>
      </w:r>
      <w:r>
        <w:rPr>
          <w:rFonts w:hint="eastAsia" w:ascii="楷体_GB2312" w:hAnsi="黑体" w:eastAsia="楷体_GB2312"/>
          <w:color w:val="000000"/>
          <w:sz w:val="32"/>
          <w:szCs w:val="32"/>
          <w:highlight w:val="none"/>
        </w:rPr>
        <w:t>收入总表</w:t>
      </w:r>
    </w:p>
    <w:p w14:paraId="6A43B141">
      <w:pPr>
        <w:tabs>
          <w:tab w:val="left" w:pos="545"/>
        </w:tabs>
        <w:adjustRightInd w:val="0"/>
        <w:snapToGrid w:val="0"/>
        <w:spacing w:line="560" w:lineRule="exact"/>
        <w:ind w:firstLine="640" w:firstLineChars="200"/>
        <w:rPr>
          <w:rFonts w:hint="eastAsia" w:ascii="楷体_GB2312" w:hAnsi="黑体" w:eastAsia="楷体_GB2312"/>
          <w:color w:val="000000"/>
          <w:sz w:val="32"/>
          <w:szCs w:val="32"/>
          <w:highlight w:val="none"/>
          <w:lang w:eastAsia="zh-CN"/>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3.</w:t>
      </w:r>
      <w:r>
        <w:rPr>
          <w:rFonts w:hint="eastAsia" w:ascii="楷体_GB2312" w:hAnsi="黑体" w:eastAsia="楷体_GB2312"/>
          <w:color w:val="000000"/>
          <w:sz w:val="32"/>
          <w:szCs w:val="32"/>
          <w:highlight w:val="none"/>
        </w:rPr>
        <w:t>支出总表</w:t>
      </w:r>
    </w:p>
    <w:p w14:paraId="47023C2E">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4.</w:t>
      </w:r>
      <w:r>
        <w:rPr>
          <w:rFonts w:hint="eastAsia" w:ascii="楷体_GB2312" w:hAnsi="黑体" w:eastAsia="楷体_GB2312"/>
          <w:color w:val="000000"/>
          <w:sz w:val="32"/>
          <w:szCs w:val="32"/>
          <w:highlight w:val="none"/>
        </w:rPr>
        <w:t>财政拨款收支总表</w:t>
      </w:r>
    </w:p>
    <w:p w14:paraId="72E721F4">
      <w:pPr>
        <w:tabs>
          <w:tab w:val="left" w:pos="545"/>
        </w:tabs>
        <w:adjustRightInd w:val="0"/>
        <w:snapToGrid w:val="0"/>
        <w:spacing w:line="560" w:lineRule="exact"/>
        <w:ind w:firstLine="640" w:firstLineChars="200"/>
        <w:rPr>
          <w:rFonts w:hint="eastAsia"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5.</w:t>
      </w:r>
      <w:r>
        <w:rPr>
          <w:rFonts w:hint="eastAsia" w:ascii="楷体_GB2312" w:hAnsi="黑体" w:eastAsia="楷体_GB2312"/>
          <w:color w:val="000000"/>
          <w:sz w:val="32"/>
          <w:szCs w:val="32"/>
          <w:highlight w:val="none"/>
        </w:rPr>
        <w:t>一般公共预算</w:t>
      </w:r>
      <w:r>
        <w:rPr>
          <w:rFonts w:hint="eastAsia" w:ascii="楷体_GB2312" w:hAnsi="黑体" w:eastAsia="楷体_GB2312"/>
          <w:color w:val="000000"/>
          <w:sz w:val="32"/>
          <w:szCs w:val="32"/>
          <w:highlight w:val="none"/>
          <w:lang w:val="en-US" w:eastAsia="zh-CN"/>
        </w:rPr>
        <w:t>支</w:t>
      </w:r>
      <w:r>
        <w:rPr>
          <w:rFonts w:hint="eastAsia" w:ascii="楷体_GB2312" w:hAnsi="黑体" w:eastAsia="楷体_GB2312"/>
          <w:color w:val="000000"/>
          <w:sz w:val="32"/>
          <w:szCs w:val="32"/>
          <w:highlight w:val="none"/>
        </w:rPr>
        <w:t>出表</w:t>
      </w:r>
    </w:p>
    <w:p w14:paraId="56AA584E">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6.</w:t>
      </w:r>
      <w:r>
        <w:rPr>
          <w:rFonts w:hint="eastAsia" w:ascii="楷体_GB2312" w:hAnsi="黑体" w:eastAsia="楷体_GB2312"/>
          <w:color w:val="000000"/>
          <w:sz w:val="32"/>
          <w:szCs w:val="32"/>
          <w:highlight w:val="none"/>
        </w:rPr>
        <w:t>一般公共预算基本支出表</w:t>
      </w:r>
    </w:p>
    <w:p w14:paraId="4A23647E">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7.</w:t>
      </w:r>
      <w:r>
        <w:rPr>
          <w:rFonts w:hint="eastAsia" w:ascii="楷体_GB2312" w:hAnsi="黑体" w:eastAsia="楷体_GB2312"/>
          <w:color w:val="000000"/>
          <w:sz w:val="32"/>
          <w:szCs w:val="32"/>
          <w:highlight w:val="none"/>
        </w:rPr>
        <w:t>一般公共预算“三公”经费支出表</w:t>
      </w:r>
    </w:p>
    <w:p w14:paraId="497470AA">
      <w:pPr>
        <w:tabs>
          <w:tab w:val="left" w:pos="545"/>
        </w:tabs>
        <w:adjustRightInd w:val="0"/>
        <w:snapToGrid w:val="0"/>
        <w:spacing w:line="560" w:lineRule="exact"/>
        <w:ind w:firstLine="640" w:firstLineChars="200"/>
        <w:rPr>
          <w:rFonts w:hint="eastAsia" w:ascii="楷体_GB2312" w:hAnsi="黑体" w:eastAsia="楷体_GB2312"/>
          <w:color w:val="000000"/>
          <w:sz w:val="32"/>
          <w:szCs w:val="32"/>
          <w:highlight w:val="none"/>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8.</w:t>
      </w:r>
      <w:r>
        <w:rPr>
          <w:rFonts w:hint="eastAsia" w:ascii="楷体_GB2312" w:hAnsi="黑体" w:eastAsia="楷体_GB2312"/>
          <w:color w:val="000000"/>
          <w:sz w:val="32"/>
          <w:szCs w:val="32"/>
          <w:highlight w:val="none"/>
        </w:rPr>
        <w:t>政府性基金</w:t>
      </w:r>
      <w:r>
        <w:rPr>
          <w:rFonts w:hint="eastAsia" w:ascii="楷体_GB2312" w:hAnsi="黑体" w:eastAsia="楷体_GB2312"/>
          <w:color w:val="000000"/>
          <w:sz w:val="32"/>
          <w:szCs w:val="32"/>
          <w:highlight w:val="none"/>
          <w:lang w:val="en-US" w:eastAsia="zh-CN"/>
        </w:rPr>
        <w:t>预算</w:t>
      </w:r>
      <w:r>
        <w:rPr>
          <w:rFonts w:hint="eastAsia" w:ascii="楷体_GB2312" w:hAnsi="黑体" w:eastAsia="楷体_GB2312"/>
          <w:color w:val="000000"/>
          <w:sz w:val="32"/>
          <w:szCs w:val="32"/>
          <w:highlight w:val="none"/>
        </w:rPr>
        <w:t>支出表</w:t>
      </w:r>
    </w:p>
    <w:p w14:paraId="10F093CA">
      <w:pPr>
        <w:tabs>
          <w:tab w:val="left" w:pos="545"/>
        </w:tabs>
        <w:adjustRightInd w:val="0"/>
        <w:snapToGrid w:val="0"/>
        <w:spacing w:line="560" w:lineRule="exact"/>
        <w:ind w:firstLine="640" w:firstLineChars="200"/>
        <w:rPr>
          <w:rFonts w:hint="default" w:ascii="楷体_GB2312" w:hAnsi="黑体" w:eastAsia="楷体_GB2312"/>
          <w:color w:val="000000"/>
          <w:sz w:val="32"/>
          <w:szCs w:val="32"/>
          <w:highlight w:val="none"/>
          <w:lang w:val="en-US" w:eastAsia="zh-CN"/>
        </w:rPr>
      </w:pPr>
      <w:r>
        <w:rPr>
          <w:rFonts w:hint="eastAsia" w:ascii="楷体_GB2312" w:hAnsi="黑体" w:eastAsia="楷体_GB2312"/>
          <w:color w:val="000000"/>
          <w:sz w:val="32"/>
          <w:szCs w:val="32"/>
          <w:highlight w:val="none"/>
          <w:lang w:val="en-US" w:eastAsia="zh-CN"/>
        </w:rPr>
        <w:t>表9.国有资本经营预算支出表</w:t>
      </w:r>
    </w:p>
    <w:p w14:paraId="60959E2F">
      <w:pPr>
        <w:tabs>
          <w:tab w:val="left" w:pos="545"/>
        </w:tabs>
        <w:adjustRightInd w:val="0"/>
        <w:snapToGrid w:val="0"/>
        <w:spacing w:line="560" w:lineRule="exact"/>
        <w:ind w:firstLine="640" w:firstLineChars="200"/>
        <w:rPr>
          <w:rFonts w:hint="eastAsia" w:ascii="楷体_GB2312" w:hAnsi="黑体" w:eastAsia="楷体_GB2312"/>
          <w:color w:val="000000"/>
          <w:sz w:val="32"/>
          <w:szCs w:val="32"/>
          <w:highlight w:val="none"/>
          <w:lang w:val="en-US" w:eastAsia="zh-CN"/>
        </w:rPr>
      </w:pPr>
      <w:r>
        <w:rPr>
          <w:rFonts w:hint="eastAsia" w:ascii="楷体_GB2312" w:hAnsi="黑体" w:eastAsia="楷体_GB2312"/>
          <w:color w:val="000000"/>
          <w:sz w:val="32"/>
          <w:szCs w:val="32"/>
          <w:highlight w:val="none"/>
          <w:lang w:val="en-US" w:eastAsia="zh-CN"/>
        </w:rPr>
        <w:t>表10</w:t>
      </w:r>
      <w:r>
        <w:rPr>
          <w:rFonts w:hint="eastAsia" w:ascii="楷体_GB2312" w:hAnsi="黑体" w:eastAsia="楷体_GB2312"/>
          <w:color w:val="000000"/>
          <w:sz w:val="32"/>
          <w:szCs w:val="32"/>
          <w:highlight w:val="none"/>
          <w:lang w:val="en-US"/>
        </w:rPr>
        <w:t>.</w:t>
      </w:r>
      <w:r>
        <w:rPr>
          <w:rFonts w:hint="eastAsia" w:ascii="楷体_GB2312" w:hAnsi="黑体" w:eastAsia="楷体_GB2312"/>
          <w:color w:val="000000"/>
          <w:sz w:val="32"/>
          <w:szCs w:val="32"/>
          <w:highlight w:val="none"/>
        </w:rPr>
        <w:t>项目支出</w:t>
      </w:r>
      <w:r>
        <w:rPr>
          <w:rFonts w:hint="eastAsia" w:ascii="楷体_GB2312" w:hAnsi="黑体" w:eastAsia="楷体_GB2312"/>
          <w:color w:val="000000"/>
          <w:sz w:val="32"/>
          <w:szCs w:val="32"/>
          <w:highlight w:val="none"/>
          <w:lang w:val="en-US" w:eastAsia="zh-CN"/>
        </w:rPr>
        <w:t>表</w:t>
      </w:r>
    </w:p>
    <w:p w14:paraId="0C77C81D">
      <w:pPr>
        <w:tabs>
          <w:tab w:val="left" w:pos="545"/>
        </w:tabs>
        <w:adjustRightInd w:val="0"/>
        <w:snapToGrid w:val="0"/>
        <w:spacing w:line="560" w:lineRule="exact"/>
        <w:ind w:firstLine="640" w:firstLineChars="200"/>
        <w:rPr>
          <w:rFonts w:ascii="楷体_GB2312" w:hAnsi="黑体" w:eastAsia="楷体_GB2312"/>
          <w:color w:val="000000"/>
          <w:sz w:val="32"/>
          <w:szCs w:val="32"/>
          <w:highlight w:val="none"/>
          <w:lang w:val="en-US"/>
        </w:rPr>
      </w:pPr>
      <w:r>
        <w:rPr>
          <w:rFonts w:hint="eastAsia" w:ascii="楷体_GB2312" w:hAnsi="黑体" w:eastAsia="楷体_GB2312"/>
          <w:color w:val="000000"/>
          <w:sz w:val="32"/>
          <w:szCs w:val="32"/>
          <w:highlight w:val="none"/>
          <w:lang w:val="en-US" w:eastAsia="zh-CN"/>
        </w:rPr>
        <w:t>表</w:t>
      </w:r>
      <w:r>
        <w:rPr>
          <w:rFonts w:hint="eastAsia" w:ascii="楷体_GB2312" w:hAnsi="黑体" w:eastAsia="楷体_GB2312"/>
          <w:color w:val="000000"/>
          <w:sz w:val="32"/>
          <w:szCs w:val="32"/>
          <w:highlight w:val="none"/>
          <w:lang w:val="en-US"/>
        </w:rPr>
        <w:t>1</w:t>
      </w:r>
      <w:r>
        <w:rPr>
          <w:rFonts w:hint="eastAsia" w:ascii="楷体_GB2312" w:hAnsi="黑体" w:eastAsia="楷体_GB2312"/>
          <w:color w:val="000000"/>
          <w:sz w:val="32"/>
          <w:szCs w:val="32"/>
          <w:highlight w:val="none"/>
          <w:lang w:val="en-US" w:eastAsia="zh-CN"/>
        </w:rPr>
        <w:t>1</w:t>
      </w:r>
      <w:r>
        <w:rPr>
          <w:rFonts w:hint="eastAsia" w:ascii="楷体_GB2312" w:hAnsi="黑体" w:eastAsia="楷体_GB2312"/>
          <w:color w:val="000000"/>
          <w:sz w:val="32"/>
          <w:szCs w:val="32"/>
          <w:highlight w:val="none"/>
          <w:lang w:val="en-US"/>
        </w:rPr>
        <w:t>.</w:t>
      </w:r>
      <w:r>
        <w:rPr>
          <w:rFonts w:hint="eastAsia" w:ascii="楷体_GB2312" w:hAnsi="黑体" w:eastAsia="楷体_GB2312"/>
          <w:color w:val="000000"/>
          <w:sz w:val="32"/>
          <w:szCs w:val="32"/>
          <w:highlight w:val="none"/>
          <w:lang w:val="en-US" w:eastAsia="zh-CN"/>
        </w:rPr>
        <w:t>项目绩效目标表</w:t>
      </w:r>
    </w:p>
    <w:p w14:paraId="316C6985">
      <w:pPr>
        <w:tabs>
          <w:tab w:val="left" w:pos="545"/>
        </w:tabs>
        <w:adjustRightInd w:val="0"/>
        <w:snapToGrid w:val="0"/>
        <w:spacing w:line="560" w:lineRule="exact"/>
        <w:ind w:firstLine="640" w:firstLineChars="200"/>
        <w:rPr>
          <w:rFonts w:hint="eastAsia" w:ascii="楷体_GB2312" w:hAnsi="黑体" w:eastAsia="楷体_GB2312"/>
          <w:color w:val="000000"/>
          <w:sz w:val="32"/>
          <w:szCs w:val="32"/>
          <w:highlight w:val="none"/>
          <w:lang w:val="en-US" w:eastAsia="zh-CN"/>
        </w:rPr>
      </w:pPr>
      <w:r>
        <w:rPr>
          <w:rFonts w:hint="eastAsia" w:ascii="楷体_GB2312" w:hAnsi="黑体" w:eastAsia="楷体_GB2312"/>
          <w:color w:val="000000"/>
          <w:sz w:val="32"/>
          <w:szCs w:val="32"/>
          <w:highlight w:val="none"/>
          <w:lang w:val="en-US" w:eastAsia="zh-CN"/>
        </w:rPr>
        <w:t>表12.</w:t>
      </w:r>
      <w:r>
        <w:rPr>
          <w:rFonts w:hint="eastAsia" w:ascii="楷体_GB2312" w:hAnsi="黑体" w:eastAsia="楷体_GB2312"/>
          <w:color w:val="000000"/>
          <w:sz w:val="32"/>
          <w:szCs w:val="32"/>
          <w:highlight w:val="none"/>
        </w:rPr>
        <w:t>政府采购</w:t>
      </w:r>
      <w:r>
        <w:rPr>
          <w:rFonts w:hint="eastAsia" w:ascii="楷体_GB2312" w:hAnsi="黑体" w:eastAsia="楷体_GB2312"/>
          <w:color w:val="000000"/>
          <w:sz w:val="32"/>
          <w:szCs w:val="32"/>
          <w:highlight w:val="none"/>
          <w:lang w:val="en-US" w:eastAsia="zh-CN"/>
        </w:rPr>
        <w:t>预算</w:t>
      </w:r>
      <w:r>
        <w:rPr>
          <w:rFonts w:hint="eastAsia" w:ascii="楷体_GB2312" w:hAnsi="黑体" w:eastAsia="楷体_GB2312"/>
          <w:color w:val="000000"/>
          <w:sz w:val="32"/>
          <w:szCs w:val="32"/>
          <w:highlight w:val="none"/>
        </w:rPr>
        <w:t>表</w:t>
      </w:r>
    </w:p>
    <w:p w14:paraId="42A2BAAD">
      <w:pPr>
        <w:tabs>
          <w:tab w:val="left" w:pos="545"/>
        </w:tabs>
        <w:adjustRightInd w:val="0"/>
        <w:snapToGrid w:val="0"/>
        <w:spacing w:line="560" w:lineRule="exact"/>
        <w:ind w:firstLine="640" w:firstLineChars="200"/>
        <w:rPr>
          <w:rFonts w:hint="default" w:ascii="楷体_GB2312" w:hAnsi="黑体" w:eastAsia="楷体_GB2312"/>
          <w:color w:val="000000"/>
          <w:sz w:val="32"/>
          <w:szCs w:val="32"/>
          <w:highlight w:val="none"/>
          <w:lang w:val="en-US" w:eastAsia="zh-CN"/>
        </w:rPr>
      </w:pPr>
    </w:p>
    <w:p w14:paraId="218FA4D6">
      <w:pPr>
        <w:spacing w:line="560" w:lineRule="exact"/>
        <w:jc w:val="center"/>
        <w:rPr>
          <w:rFonts w:ascii="楷体_GB2312" w:eastAsia="楷体_GB2312"/>
          <w:b/>
          <w:sz w:val="36"/>
          <w:szCs w:val="36"/>
          <w:highlight w:val="none"/>
        </w:rPr>
      </w:pPr>
    </w:p>
    <w:p w14:paraId="5AF79A93">
      <w:pPr>
        <w:spacing w:line="560" w:lineRule="exact"/>
        <w:jc w:val="center"/>
        <w:rPr>
          <w:rFonts w:ascii="楷体_GB2312" w:eastAsia="楷体_GB2312"/>
          <w:b/>
          <w:sz w:val="36"/>
          <w:szCs w:val="36"/>
          <w:highlight w:val="none"/>
        </w:rPr>
      </w:pPr>
    </w:p>
    <w:p w14:paraId="5C4A7A42">
      <w:pPr>
        <w:spacing w:line="560" w:lineRule="exact"/>
        <w:jc w:val="center"/>
        <w:rPr>
          <w:rFonts w:ascii="楷体_GB2312" w:eastAsia="楷体_GB2312"/>
          <w:b/>
          <w:sz w:val="36"/>
          <w:szCs w:val="36"/>
          <w:highlight w:val="none"/>
        </w:rPr>
      </w:pPr>
    </w:p>
    <w:p w14:paraId="095FEA3A">
      <w:pPr>
        <w:spacing w:line="560" w:lineRule="exact"/>
        <w:jc w:val="center"/>
        <w:rPr>
          <w:rFonts w:ascii="楷体_GB2312" w:eastAsia="楷体_GB2312"/>
          <w:b/>
          <w:sz w:val="36"/>
          <w:szCs w:val="36"/>
          <w:highlight w:val="none"/>
        </w:rPr>
      </w:pPr>
      <w:r>
        <w:rPr>
          <w:rFonts w:hint="eastAsia" w:ascii="楷体_GB2312" w:eastAsia="楷体_GB2312"/>
          <w:b/>
          <w:sz w:val="36"/>
          <w:szCs w:val="36"/>
          <w:highlight w:val="none"/>
        </w:rPr>
        <w:t>第一部分  部门概况</w:t>
      </w:r>
    </w:p>
    <w:p w14:paraId="108D82E0">
      <w:pPr>
        <w:snapToGrid w:val="0"/>
        <w:spacing w:line="500" w:lineRule="exact"/>
        <w:ind w:firstLine="640"/>
        <w:rPr>
          <w:rFonts w:ascii="黑体" w:hAnsi="黑体" w:eastAsia="黑体"/>
          <w:sz w:val="32"/>
          <w:szCs w:val="32"/>
          <w:highlight w:val="none"/>
        </w:rPr>
      </w:pPr>
      <w:r>
        <w:rPr>
          <w:rFonts w:hint="eastAsia" w:ascii="黑体" w:hAnsi="黑体" w:eastAsia="黑体"/>
          <w:sz w:val="32"/>
          <w:szCs w:val="32"/>
          <w:highlight w:val="none"/>
        </w:rPr>
        <w:t>一、主要职能、职责</w:t>
      </w:r>
    </w:p>
    <w:p w14:paraId="675B1084">
      <w:pPr>
        <w:snapToGrid w:val="0"/>
        <w:spacing w:line="500" w:lineRule="exact"/>
        <w:ind w:firstLine="640"/>
        <w:rPr>
          <w:rFonts w:hint="eastAsia" w:ascii="楷体_GB2312" w:eastAsia="楷体_GB2312"/>
          <w:sz w:val="32"/>
          <w:szCs w:val="32"/>
          <w:highlight w:val="none"/>
        </w:rPr>
      </w:pPr>
      <w:r>
        <w:rPr>
          <w:rFonts w:hint="eastAsia" w:ascii="楷体_GB2312" w:eastAsia="楷体_GB2312"/>
          <w:sz w:val="32"/>
          <w:szCs w:val="32"/>
          <w:highlight w:val="none"/>
        </w:rPr>
        <w:t>（一）部门职能</w:t>
      </w:r>
    </w:p>
    <w:p w14:paraId="511DC99B">
      <w:pPr>
        <w:snapToGrid w:val="0"/>
        <w:spacing w:line="560" w:lineRule="exact"/>
        <w:ind w:firstLine="640" w:firstLineChars="200"/>
        <w:rPr>
          <w:rFonts w:hint="eastAsia" w:ascii="楷体_GB2312" w:eastAsia="仿宋_GB2312"/>
          <w:sz w:val="32"/>
          <w:szCs w:val="32"/>
          <w:highlight w:val="none"/>
          <w:lang w:eastAsia="zh-CN"/>
        </w:rPr>
      </w:pPr>
      <w:r>
        <w:rPr>
          <w:rFonts w:hint="eastAsia" w:eastAsia="仿宋_GB2312"/>
          <w:sz w:val="32"/>
          <w:szCs w:val="32"/>
          <w:highlight w:val="none"/>
          <w:lang w:val="en-US" w:eastAsia="zh-CN"/>
        </w:rPr>
        <w:t>科尔沁区</w:t>
      </w:r>
      <w:r>
        <w:rPr>
          <w:rFonts w:hint="eastAsia" w:eastAsia="仿宋_GB2312"/>
          <w:sz w:val="32"/>
          <w:szCs w:val="32"/>
          <w:highlight w:val="none"/>
          <w:lang w:eastAsia="zh-CN"/>
        </w:rPr>
        <w:t>通辽经济技术开发区河西街道办事处</w:t>
      </w:r>
      <w:r>
        <w:rPr>
          <w:rFonts w:hint="eastAsia" w:eastAsia="仿宋_GB2312"/>
          <w:sz w:val="32"/>
          <w:szCs w:val="32"/>
          <w:highlight w:val="none"/>
        </w:rPr>
        <w:t>是</w:t>
      </w:r>
      <w:r>
        <w:rPr>
          <w:rFonts w:hint="eastAsia" w:eastAsia="仿宋_GB2312"/>
          <w:sz w:val="32"/>
          <w:szCs w:val="32"/>
          <w:highlight w:val="none"/>
          <w:lang w:val="en-US" w:eastAsia="zh-CN"/>
        </w:rPr>
        <w:t>区</w:t>
      </w:r>
      <w:r>
        <w:rPr>
          <w:rFonts w:hint="eastAsia" w:eastAsia="仿宋_GB2312"/>
          <w:sz w:val="32"/>
          <w:szCs w:val="32"/>
          <w:highlight w:val="none"/>
        </w:rPr>
        <w:t>人民政府主管</w:t>
      </w:r>
      <w:r>
        <w:rPr>
          <w:rFonts w:hint="eastAsia" w:eastAsia="仿宋_GB2312"/>
          <w:sz w:val="32"/>
          <w:szCs w:val="32"/>
          <w:highlight w:val="none"/>
          <w:lang w:eastAsia="zh-CN"/>
        </w:rPr>
        <w:t>经济发展</w:t>
      </w:r>
      <w:r>
        <w:rPr>
          <w:rFonts w:hint="eastAsia" w:eastAsia="仿宋_GB2312"/>
          <w:sz w:val="32"/>
          <w:szCs w:val="32"/>
          <w:highlight w:val="none"/>
        </w:rPr>
        <w:t>、</w:t>
      </w:r>
      <w:r>
        <w:rPr>
          <w:rFonts w:hint="eastAsia" w:eastAsia="仿宋_GB2312"/>
          <w:sz w:val="32"/>
          <w:szCs w:val="32"/>
          <w:highlight w:val="none"/>
          <w:lang w:eastAsia="zh-CN"/>
        </w:rPr>
        <w:t>城市管理</w:t>
      </w:r>
      <w:r>
        <w:rPr>
          <w:rFonts w:hint="eastAsia" w:eastAsia="仿宋_GB2312"/>
          <w:sz w:val="32"/>
          <w:szCs w:val="32"/>
          <w:highlight w:val="none"/>
        </w:rPr>
        <w:t>、</w:t>
      </w:r>
      <w:r>
        <w:rPr>
          <w:rFonts w:hint="eastAsia" w:eastAsia="仿宋_GB2312"/>
          <w:sz w:val="32"/>
          <w:szCs w:val="32"/>
          <w:highlight w:val="none"/>
          <w:lang w:eastAsia="zh-CN"/>
        </w:rPr>
        <w:t>社区管理、社会服务</w:t>
      </w:r>
      <w:r>
        <w:rPr>
          <w:rFonts w:hint="eastAsia" w:eastAsia="仿宋_GB2312"/>
          <w:sz w:val="32"/>
          <w:szCs w:val="32"/>
          <w:highlight w:val="none"/>
        </w:rPr>
        <w:t>的部门。</w:t>
      </w:r>
    </w:p>
    <w:p w14:paraId="0A087E54">
      <w:pPr>
        <w:snapToGrid w:val="0"/>
        <w:spacing w:line="560" w:lineRule="exact"/>
        <w:ind w:firstLine="640"/>
        <w:rPr>
          <w:rFonts w:ascii="楷体_GB2312" w:eastAsia="楷体_GB2312"/>
          <w:sz w:val="32"/>
          <w:szCs w:val="32"/>
          <w:highlight w:val="none"/>
        </w:rPr>
      </w:pPr>
      <w:r>
        <w:rPr>
          <w:rFonts w:hint="eastAsia" w:ascii="楷体_GB2312" w:eastAsia="楷体_GB2312"/>
          <w:sz w:val="32"/>
          <w:szCs w:val="32"/>
          <w:highlight w:val="none"/>
        </w:rPr>
        <w:t>（二）部门主要职责</w:t>
      </w:r>
    </w:p>
    <w:p w14:paraId="3199D105">
      <w:pPr>
        <w:snapToGrid w:val="0"/>
        <w:spacing w:line="560" w:lineRule="exact"/>
        <w:ind w:firstLine="640"/>
        <w:rPr>
          <w:rFonts w:eastAsia="仿宋_GB2312"/>
          <w:sz w:val="32"/>
          <w:szCs w:val="32"/>
          <w:highlight w:val="none"/>
        </w:rPr>
      </w:pPr>
      <w:r>
        <w:rPr>
          <w:rFonts w:hint="eastAsia" w:ascii="仿宋_GB2312" w:eastAsia="仿宋_GB2312"/>
          <w:sz w:val="32"/>
          <w:szCs w:val="32"/>
          <w:highlight w:val="none"/>
          <w:lang w:val="en-US" w:eastAsia="zh-CN"/>
        </w:rPr>
        <w:t>1、</w:t>
      </w:r>
      <w:r>
        <w:rPr>
          <w:rFonts w:hint="eastAsia" w:eastAsia="仿宋_GB2312"/>
          <w:sz w:val="32"/>
          <w:szCs w:val="32"/>
          <w:highlight w:val="none"/>
        </w:rPr>
        <w:t>宣传国家法律、法规和政策，对居民群众进行思想政治教育和社会主义法制教育。</w:t>
      </w:r>
    </w:p>
    <w:p w14:paraId="6A1728A1">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2、管理街道经济，对经济工作中的重要问题做出决定，监督、指导、协调街道经济的运作。</w:t>
      </w:r>
    </w:p>
    <w:p w14:paraId="193BFE13">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3、做好计划生育工作，加强对流动人口的计生管理。</w:t>
      </w:r>
    </w:p>
    <w:p w14:paraId="73FB4630">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4、协调参与辖区内城市管理、老旧小区及村改造、制止违法建设，搞好城市环境卫生。</w:t>
      </w:r>
    </w:p>
    <w:p w14:paraId="726B578D">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5、开展社区群众文化、科技普及和体育工作。</w:t>
      </w:r>
    </w:p>
    <w:p w14:paraId="76C1DA80">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6、加强社区建设，合理设置，指导其开展工作。</w:t>
      </w:r>
    </w:p>
    <w:p w14:paraId="1C2C1727">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7、开展社会保障、拥军优属、社区服务工作。</w:t>
      </w:r>
    </w:p>
    <w:p w14:paraId="10D9069F">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8、搞好社会治安综合治理，开展人民调解，维护居民合法权益。</w:t>
      </w:r>
    </w:p>
    <w:p w14:paraId="737D6B64">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9、开展安全生产、抢险救灾工作。</w:t>
      </w:r>
    </w:p>
    <w:p w14:paraId="6EB0F05A">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10、向开发区政府反映社情民意，办理人民群众信访事项。</w:t>
      </w:r>
    </w:p>
    <w:p w14:paraId="31C0F138">
      <w:pPr>
        <w:snapToGrid w:val="0"/>
        <w:spacing w:line="56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11、承办上级政府交办的其他事项。</w:t>
      </w:r>
    </w:p>
    <w:p w14:paraId="47BDC564">
      <w:pPr>
        <w:snapToGrid w:val="0"/>
        <w:spacing w:line="500" w:lineRule="exact"/>
        <w:ind w:firstLine="640"/>
        <w:rPr>
          <w:rFonts w:ascii="黑体" w:hAnsi="黑体" w:eastAsia="黑体"/>
          <w:sz w:val="32"/>
          <w:szCs w:val="32"/>
          <w:highlight w:val="none"/>
        </w:rPr>
      </w:pPr>
      <w:r>
        <w:rPr>
          <w:rFonts w:hint="eastAsia" w:ascii="黑体" w:hAnsi="黑体" w:eastAsia="黑体"/>
          <w:color w:val="000000"/>
          <w:sz w:val="32"/>
          <w:szCs w:val="32"/>
          <w:highlight w:val="none"/>
        </w:rPr>
        <w:t>二、机构设置及预算单位构成情况</w:t>
      </w:r>
    </w:p>
    <w:p w14:paraId="2403828D">
      <w:pPr>
        <w:snapToGrid w:val="0"/>
        <w:spacing w:line="560" w:lineRule="exact"/>
        <w:ind w:firstLine="640"/>
        <w:rPr>
          <w:rFonts w:hint="eastAsia" w:eastAsia="仿宋_GB2312"/>
          <w:color w:val="FF0000"/>
          <w:sz w:val="32"/>
          <w:szCs w:val="32"/>
          <w:highlight w:val="none"/>
          <w:lang w:eastAsia="zh-CN"/>
        </w:rPr>
      </w:pPr>
      <w:r>
        <w:rPr>
          <w:rFonts w:hint="eastAsia" w:eastAsia="仿宋_GB2312"/>
          <w:sz w:val="32"/>
          <w:szCs w:val="32"/>
          <w:highlight w:val="none"/>
        </w:rPr>
        <w:t>从预算单位构成看，通辽市</w:t>
      </w:r>
      <w:r>
        <w:rPr>
          <w:rFonts w:hint="eastAsia" w:eastAsia="仿宋_GB2312"/>
          <w:sz w:val="32"/>
          <w:szCs w:val="32"/>
          <w:highlight w:val="none"/>
          <w:lang w:val="en-US" w:eastAsia="zh-CN"/>
        </w:rPr>
        <w:t>科尔沁区</w:t>
      </w:r>
      <w:r>
        <w:rPr>
          <w:rFonts w:hint="eastAsia" w:eastAsia="仿宋_GB2312"/>
          <w:sz w:val="32"/>
          <w:szCs w:val="32"/>
          <w:highlight w:val="none"/>
          <w:lang w:eastAsia="zh-CN"/>
        </w:rPr>
        <w:t>河西街道办事处</w:t>
      </w:r>
      <w:r>
        <w:rPr>
          <w:rFonts w:hint="eastAsia" w:eastAsia="仿宋_GB2312"/>
          <w:sz w:val="32"/>
          <w:szCs w:val="32"/>
          <w:highlight w:val="none"/>
        </w:rPr>
        <w:t>预算包括：本级预算</w:t>
      </w:r>
      <w:r>
        <w:rPr>
          <w:rFonts w:hint="eastAsia" w:eastAsia="仿宋_GB2312"/>
          <w:sz w:val="32"/>
          <w:szCs w:val="32"/>
          <w:highlight w:val="none"/>
          <w:lang w:eastAsia="zh-CN"/>
        </w:rPr>
        <w:t>。</w:t>
      </w:r>
    </w:p>
    <w:p w14:paraId="6DC193EC">
      <w:pPr>
        <w:snapToGrid w:val="0"/>
        <w:spacing w:line="500" w:lineRule="exact"/>
        <w:ind w:firstLine="640"/>
        <w:rPr>
          <w:rFonts w:ascii="楷体_GB2312" w:hAnsi="黑体" w:eastAsia="楷体_GB2312"/>
          <w:sz w:val="32"/>
          <w:szCs w:val="32"/>
          <w:highlight w:val="none"/>
        </w:rPr>
      </w:pPr>
      <w:r>
        <w:rPr>
          <w:rFonts w:hint="eastAsia" w:ascii="楷体_GB2312" w:eastAsia="楷体_GB2312"/>
          <w:sz w:val="32"/>
          <w:szCs w:val="32"/>
          <w:highlight w:val="none"/>
        </w:rPr>
        <w:t>（一）机构及人员基本情况</w:t>
      </w:r>
    </w:p>
    <w:p w14:paraId="27D4BF64">
      <w:pPr>
        <w:snapToGrid w:val="0"/>
        <w:spacing w:line="560" w:lineRule="exact"/>
        <w:ind w:firstLine="640"/>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河西街道办事处</w:t>
      </w:r>
      <w:r>
        <w:rPr>
          <w:rFonts w:hint="eastAsia" w:ascii="仿宋_GB2312" w:eastAsia="仿宋_GB2312"/>
          <w:sz w:val="32"/>
          <w:szCs w:val="32"/>
          <w:highlight w:val="none"/>
        </w:rPr>
        <w:t>部门本级及下设独立预算单位共有</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家，其中：财政拨款的行政单位</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家</w:t>
      </w:r>
      <w:r>
        <w:rPr>
          <w:rFonts w:hint="eastAsia" w:ascii="仿宋_GB2312" w:eastAsia="仿宋_GB2312"/>
          <w:sz w:val="32"/>
          <w:szCs w:val="32"/>
          <w:highlight w:val="none"/>
          <w:lang w:eastAsia="zh-CN"/>
        </w:rPr>
        <w:t>，非独立核算二级单位</w:t>
      </w:r>
      <w:r>
        <w:rPr>
          <w:rFonts w:hint="eastAsia" w:ascii="仿宋_GB2312" w:eastAsia="仿宋_GB2312"/>
          <w:sz w:val="32"/>
          <w:szCs w:val="32"/>
          <w:highlight w:val="none"/>
          <w:lang w:val="en-US" w:eastAsia="zh-CN"/>
        </w:rPr>
        <w:t>2家</w:t>
      </w:r>
      <w:r>
        <w:rPr>
          <w:rFonts w:hint="eastAsia" w:ascii="仿宋_GB2312" w:eastAsia="仿宋_GB2312"/>
          <w:sz w:val="32"/>
          <w:szCs w:val="32"/>
          <w:highlight w:val="none"/>
          <w:lang w:eastAsia="zh-CN"/>
        </w:rPr>
        <w:t>。</w:t>
      </w:r>
    </w:p>
    <w:p w14:paraId="1162ADE2">
      <w:pPr>
        <w:snapToGrid w:val="0"/>
        <w:spacing w:line="560" w:lineRule="exact"/>
        <w:ind w:firstLine="64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本单位设置5个内设机构：党政综合办公室、基层党的建设办公室、城市管理办公室、社会事务办公室、平安建设办公室。</w:t>
      </w:r>
    </w:p>
    <w:p w14:paraId="328F6778">
      <w:pPr>
        <w:snapToGrid w:val="0"/>
        <w:spacing w:line="500" w:lineRule="exact"/>
        <w:ind w:firstLine="640"/>
        <w:rPr>
          <w:rFonts w:ascii="仿宋_GB2312" w:hAnsi="黑体" w:eastAsia="仿宋_GB2312"/>
          <w:sz w:val="32"/>
          <w:szCs w:val="32"/>
          <w:highlight w:val="none"/>
        </w:rPr>
      </w:pPr>
      <w:r>
        <w:rPr>
          <w:rFonts w:hint="eastAsia" w:ascii="仿宋_GB2312" w:eastAsia="仿宋_GB2312"/>
          <w:sz w:val="32"/>
          <w:szCs w:val="32"/>
          <w:highlight w:val="none"/>
        </w:rPr>
        <w:t>人员基本情况，编制</w:t>
      </w:r>
      <w:r>
        <w:rPr>
          <w:rFonts w:hint="eastAsia" w:ascii="仿宋_GB2312" w:eastAsia="仿宋_GB2312"/>
          <w:sz w:val="32"/>
          <w:szCs w:val="32"/>
          <w:highlight w:val="none"/>
          <w:lang w:val="en-US" w:eastAsia="zh-CN"/>
        </w:rPr>
        <w:t>59人</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编外聘用人员</w:t>
      </w:r>
      <w:r>
        <w:rPr>
          <w:rFonts w:hint="eastAsia" w:ascii="仿宋_GB2312" w:eastAsia="仿宋_GB2312"/>
          <w:sz w:val="32"/>
          <w:szCs w:val="32"/>
          <w:highlight w:val="none"/>
          <w:lang w:val="en-US" w:eastAsia="zh-CN"/>
        </w:rPr>
        <w:t>46人</w:t>
      </w:r>
      <w:r>
        <w:rPr>
          <w:rFonts w:hint="eastAsia" w:ascii="仿宋_GB2312" w:eastAsia="仿宋_GB2312"/>
          <w:sz w:val="32"/>
          <w:szCs w:val="32"/>
          <w:highlight w:val="none"/>
        </w:rPr>
        <w:t>。</w:t>
      </w:r>
    </w:p>
    <w:p w14:paraId="1BD6F9C9">
      <w:pPr>
        <w:snapToGrid w:val="0"/>
        <w:spacing w:line="56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（二）部门及部门所属单位设置</w:t>
      </w:r>
    </w:p>
    <w:p w14:paraId="448923D1">
      <w:pPr>
        <w:snapToGrid w:val="0"/>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纳入</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 xml:space="preserve">年部门预算编制范围的二级预算单位情况： </w:t>
      </w:r>
    </w:p>
    <w:p w14:paraId="0EED565C">
      <w:pPr>
        <w:snapToGrid w:val="0"/>
        <w:spacing w:line="560" w:lineRule="exact"/>
        <w:ind w:firstLine="643" w:firstLineChars="200"/>
        <w:jc w:val="center"/>
        <w:rPr>
          <w:rFonts w:hint="eastAsia" w:eastAsia="仿宋_GB2312"/>
          <w:b/>
          <w:sz w:val="32"/>
          <w:szCs w:val="32"/>
          <w:highlight w:val="none"/>
        </w:rPr>
      </w:pPr>
    </w:p>
    <w:p w14:paraId="33056CAC">
      <w:pPr>
        <w:snapToGrid w:val="0"/>
        <w:spacing w:line="560" w:lineRule="exact"/>
        <w:ind w:firstLine="643" w:firstLineChars="200"/>
        <w:jc w:val="center"/>
        <w:rPr>
          <w:rFonts w:hint="eastAsia" w:eastAsia="仿宋_GB2312"/>
          <w:b/>
          <w:sz w:val="32"/>
          <w:szCs w:val="32"/>
          <w:highlight w:val="none"/>
        </w:rPr>
      </w:pPr>
    </w:p>
    <w:p w14:paraId="08E0C035">
      <w:pPr>
        <w:snapToGrid w:val="0"/>
        <w:spacing w:line="560" w:lineRule="exact"/>
        <w:ind w:firstLine="643" w:firstLineChars="200"/>
        <w:jc w:val="center"/>
        <w:rPr>
          <w:rFonts w:hint="eastAsia" w:eastAsia="仿宋_GB2312"/>
          <w:b/>
          <w:sz w:val="32"/>
          <w:szCs w:val="32"/>
          <w:highlight w:val="none"/>
        </w:rPr>
      </w:pPr>
    </w:p>
    <w:p w14:paraId="70045A58">
      <w:pPr>
        <w:snapToGrid w:val="0"/>
        <w:spacing w:line="560" w:lineRule="exact"/>
        <w:ind w:firstLine="643" w:firstLineChars="200"/>
        <w:jc w:val="center"/>
        <w:rPr>
          <w:rFonts w:ascii="仿宋_GB2312" w:hAnsi="黑体" w:eastAsia="仿宋_GB2312"/>
          <w:color w:val="000000"/>
          <w:szCs w:val="21"/>
          <w:highlight w:val="none"/>
        </w:rPr>
      </w:pPr>
      <w:r>
        <w:rPr>
          <w:rFonts w:hint="eastAsia" w:eastAsia="仿宋_GB2312"/>
          <w:b/>
          <w:sz w:val="32"/>
          <w:szCs w:val="32"/>
          <w:highlight w:val="none"/>
        </w:rPr>
        <w:t>单位情况表</w:t>
      </w:r>
      <w:r>
        <w:rPr>
          <w:rFonts w:hint="eastAsia" w:ascii="黑体" w:hAnsi="黑体" w:eastAsia="黑体"/>
          <w:color w:val="000000"/>
          <w:sz w:val="32"/>
          <w:szCs w:val="32"/>
          <w:highlight w:val="none"/>
        </w:rPr>
        <w:t xml:space="preserve">                  </w:t>
      </w:r>
    </w:p>
    <w:tbl>
      <w:tblPr>
        <w:tblStyle w:val="6"/>
        <w:tblW w:w="8309" w:type="dxa"/>
        <w:jc w:val="center"/>
        <w:tblLayout w:type="fixed"/>
        <w:tblCellMar>
          <w:top w:w="0" w:type="dxa"/>
          <w:left w:w="108" w:type="dxa"/>
          <w:bottom w:w="0" w:type="dxa"/>
          <w:right w:w="108" w:type="dxa"/>
        </w:tblCellMar>
      </w:tblPr>
      <w:tblGrid>
        <w:gridCol w:w="1203"/>
        <w:gridCol w:w="3780"/>
        <w:gridCol w:w="3326"/>
      </w:tblGrid>
      <w:tr w14:paraId="20FC9366">
        <w:tblPrEx>
          <w:tblCellMar>
            <w:top w:w="0" w:type="dxa"/>
            <w:left w:w="108" w:type="dxa"/>
            <w:bottom w:w="0" w:type="dxa"/>
            <w:right w:w="108" w:type="dxa"/>
          </w:tblCellMar>
        </w:tblPrEx>
        <w:trPr>
          <w:trHeight w:val="397" w:hRule="atLeast"/>
          <w:jc w:val="center"/>
        </w:trPr>
        <w:tc>
          <w:tcPr>
            <w:tcW w:w="1203" w:type="dxa"/>
            <w:tcBorders>
              <w:top w:val="single" w:color="auto" w:sz="4" w:space="0"/>
              <w:left w:val="single" w:color="auto" w:sz="4" w:space="0"/>
              <w:bottom w:val="single" w:color="auto" w:sz="4" w:space="0"/>
              <w:right w:val="single" w:color="auto" w:sz="4" w:space="0"/>
            </w:tcBorders>
            <w:vAlign w:val="center"/>
          </w:tcPr>
          <w:p w14:paraId="15E264A1">
            <w:pPr>
              <w:jc w:val="center"/>
              <w:rPr>
                <w:rFonts w:ascii="仿宋_GB2312" w:eastAsia="仿宋_GB2312"/>
                <w:color w:val="000000"/>
                <w:sz w:val="32"/>
                <w:szCs w:val="32"/>
                <w:highlight w:val="none"/>
              </w:rPr>
            </w:pPr>
            <w:r>
              <w:rPr>
                <w:rFonts w:hint="eastAsia" w:ascii="仿宋_GB2312" w:hAnsi="黑体" w:eastAsia="仿宋_GB2312" w:cs="宋体"/>
                <w:bCs/>
                <w:color w:val="000000"/>
                <w:sz w:val="32"/>
                <w:szCs w:val="32"/>
                <w:highlight w:val="none"/>
              </w:rPr>
              <w:t>序号</w:t>
            </w:r>
          </w:p>
        </w:tc>
        <w:tc>
          <w:tcPr>
            <w:tcW w:w="3780" w:type="dxa"/>
            <w:tcBorders>
              <w:top w:val="single" w:color="auto" w:sz="4" w:space="0"/>
              <w:left w:val="single" w:color="auto" w:sz="4" w:space="0"/>
              <w:bottom w:val="single" w:color="auto" w:sz="4" w:space="0"/>
              <w:right w:val="single" w:color="auto" w:sz="4" w:space="0"/>
            </w:tcBorders>
            <w:shd w:val="clear" w:color="auto" w:fill="auto"/>
            <w:vAlign w:val="center"/>
          </w:tcPr>
          <w:p w14:paraId="68404824">
            <w:pPr>
              <w:jc w:val="center"/>
              <w:rPr>
                <w:rFonts w:ascii="仿宋_GB2312" w:eastAsia="仿宋_GB2312"/>
                <w:bCs/>
                <w:color w:val="000000"/>
                <w:sz w:val="32"/>
                <w:szCs w:val="32"/>
                <w:highlight w:val="none"/>
              </w:rPr>
            </w:pPr>
            <w:r>
              <w:rPr>
                <w:rFonts w:hint="eastAsia" w:ascii="仿宋_GB2312" w:hAnsi="黑体" w:eastAsia="仿宋_GB2312" w:cs="宋体"/>
                <w:bCs/>
                <w:color w:val="000000"/>
                <w:sz w:val="32"/>
                <w:szCs w:val="32"/>
                <w:highlight w:val="none"/>
              </w:rPr>
              <w:t>单位名称</w:t>
            </w:r>
          </w:p>
        </w:tc>
        <w:tc>
          <w:tcPr>
            <w:tcW w:w="3326" w:type="dxa"/>
            <w:tcBorders>
              <w:top w:val="single" w:color="auto" w:sz="4" w:space="0"/>
              <w:left w:val="nil"/>
              <w:bottom w:val="single" w:color="auto" w:sz="4" w:space="0"/>
              <w:right w:val="single" w:color="auto" w:sz="4" w:space="0"/>
            </w:tcBorders>
            <w:shd w:val="clear" w:color="auto" w:fill="auto"/>
            <w:noWrap/>
            <w:vAlign w:val="center"/>
          </w:tcPr>
          <w:p w14:paraId="1D51C3BC">
            <w:pPr>
              <w:jc w:val="center"/>
              <w:rPr>
                <w:rFonts w:ascii="仿宋_GB2312" w:eastAsia="仿宋_GB2312"/>
                <w:color w:val="000000"/>
                <w:sz w:val="32"/>
                <w:szCs w:val="32"/>
                <w:highlight w:val="none"/>
              </w:rPr>
            </w:pPr>
            <w:r>
              <w:rPr>
                <w:rFonts w:hint="eastAsia" w:ascii="仿宋_GB2312" w:eastAsia="仿宋_GB2312"/>
                <w:color w:val="000000"/>
                <w:sz w:val="32"/>
                <w:szCs w:val="32"/>
                <w:highlight w:val="none"/>
              </w:rPr>
              <w:t>单位性质</w:t>
            </w:r>
          </w:p>
        </w:tc>
      </w:tr>
      <w:tr w14:paraId="2FC6BBD8">
        <w:tblPrEx>
          <w:tblCellMar>
            <w:top w:w="0" w:type="dxa"/>
            <w:left w:w="108" w:type="dxa"/>
            <w:bottom w:w="0" w:type="dxa"/>
            <w:right w:w="108" w:type="dxa"/>
          </w:tblCellMar>
        </w:tblPrEx>
        <w:trPr>
          <w:trHeight w:val="397" w:hRule="atLeast"/>
          <w:jc w:val="center"/>
        </w:trPr>
        <w:tc>
          <w:tcPr>
            <w:tcW w:w="1203" w:type="dxa"/>
            <w:tcBorders>
              <w:top w:val="nil"/>
              <w:left w:val="single" w:color="auto" w:sz="4" w:space="0"/>
              <w:bottom w:val="single" w:color="auto" w:sz="4" w:space="0"/>
              <w:right w:val="single" w:color="auto" w:sz="4" w:space="0"/>
            </w:tcBorders>
            <w:vAlign w:val="center"/>
          </w:tcPr>
          <w:p w14:paraId="7E25E187">
            <w:pPr>
              <w:jc w:val="center"/>
              <w:rPr>
                <w:rFonts w:hint="eastAsia" w:ascii="仿宋_GB2312" w:eastAsia="仿宋_GB2312"/>
                <w:color w:val="000000"/>
                <w:sz w:val="32"/>
                <w:szCs w:val="32"/>
                <w:highlight w:val="none"/>
                <w:lang w:val="en-US" w:eastAsia="zh-CN"/>
              </w:rPr>
            </w:pPr>
            <w:r>
              <w:rPr>
                <w:rFonts w:hint="eastAsia" w:ascii="仿宋_GB2312" w:eastAsia="仿宋_GB2312"/>
                <w:color w:val="000000"/>
                <w:sz w:val="32"/>
                <w:szCs w:val="32"/>
                <w:highlight w:val="none"/>
                <w:lang w:val="en-US" w:eastAsia="zh-CN"/>
              </w:rPr>
              <w:t>1</w:t>
            </w:r>
          </w:p>
        </w:tc>
        <w:tc>
          <w:tcPr>
            <w:tcW w:w="3780" w:type="dxa"/>
            <w:tcBorders>
              <w:top w:val="nil"/>
              <w:left w:val="single" w:color="auto" w:sz="4" w:space="0"/>
              <w:bottom w:val="single" w:color="auto" w:sz="4" w:space="0"/>
              <w:right w:val="single" w:color="auto" w:sz="4" w:space="0"/>
            </w:tcBorders>
            <w:shd w:val="clear" w:color="auto" w:fill="auto"/>
            <w:vAlign w:val="center"/>
          </w:tcPr>
          <w:p w14:paraId="3EE63439">
            <w:pPr>
              <w:jc w:val="left"/>
              <w:rPr>
                <w:rFonts w:ascii="仿宋_GB2312" w:eastAsia="仿宋_GB2312"/>
                <w:bCs/>
                <w:color w:val="000000"/>
                <w:sz w:val="32"/>
                <w:szCs w:val="32"/>
                <w:highlight w:val="none"/>
              </w:rPr>
            </w:pPr>
            <w:r>
              <w:rPr>
                <w:rFonts w:hint="eastAsia" w:ascii="仿宋_GB2312" w:eastAsia="仿宋_GB2312"/>
                <w:bCs/>
                <w:color w:val="000000"/>
                <w:kern w:val="0"/>
                <w:sz w:val="32"/>
                <w:szCs w:val="32"/>
                <w:highlight w:val="none"/>
                <w:lang w:val="en-US" w:eastAsia="zh-CN"/>
              </w:rPr>
              <w:t>通辽经济技术开发区河西街道办事处</w:t>
            </w:r>
            <w:r>
              <w:rPr>
                <w:rFonts w:hint="eastAsia" w:ascii="仿宋_GB2312" w:eastAsia="仿宋_GB2312"/>
                <w:bCs/>
                <w:color w:val="000000"/>
                <w:kern w:val="0"/>
                <w:sz w:val="32"/>
                <w:szCs w:val="32"/>
                <w:highlight w:val="none"/>
              </w:rPr>
              <w:t>部门本级</w:t>
            </w:r>
          </w:p>
        </w:tc>
        <w:tc>
          <w:tcPr>
            <w:tcW w:w="3326" w:type="dxa"/>
            <w:tcBorders>
              <w:top w:val="nil"/>
              <w:left w:val="nil"/>
              <w:bottom w:val="single" w:color="auto" w:sz="4" w:space="0"/>
              <w:right w:val="single" w:color="auto" w:sz="4" w:space="0"/>
            </w:tcBorders>
            <w:shd w:val="clear" w:color="auto" w:fill="auto"/>
            <w:noWrap/>
            <w:vAlign w:val="center"/>
          </w:tcPr>
          <w:p w14:paraId="0695892F">
            <w:pPr>
              <w:jc w:val="center"/>
              <w:rPr>
                <w:rFonts w:ascii="仿宋_GB2312" w:eastAsia="仿宋_GB2312"/>
                <w:color w:val="000000"/>
                <w:sz w:val="32"/>
                <w:szCs w:val="32"/>
                <w:highlight w:val="none"/>
              </w:rPr>
            </w:pPr>
            <w:r>
              <w:rPr>
                <w:rFonts w:hint="eastAsia" w:ascii="仿宋_GB2312" w:eastAsia="仿宋_GB2312"/>
                <w:color w:val="000000"/>
                <w:sz w:val="32"/>
                <w:szCs w:val="32"/>
                <w:highlight w:val="none"/>
              </w:rPr>
              <w:t>财政拨款的行政单位</w:t>
            </w:r>
          </w:p>
        </w:tc>
      </w:tr>
      <w:tr w14:paraId="45678969">
        <w:tblPrEx>
          <w:tblCellMar>
            <w:top w:w="0" w:type="dxa"/>
            <w:left w:w="108" w:type="dxa"/>
            <w:bottom w:w="0" w:type="dxa"/>
            <w:right w:w="108" w:type="dxa"/>
          </w:tblCellMar>
        </w:tblPrEx>
        <w:trPr>
          <w:trHeight w:val="397" w:hRule="atLeast"/>
          <w:jc w:val="center"/>
        </w:trPr>
        <w:tc>
          <w:tcPr>
            <w:tcW w:w="1203" w:type="dxa"/>
            <w:tcBorders>
              <w:top w:val="nil"/>
              <w:left w:val="single" w:color="auto" w:sz="4" w:space="0"/>
              <w:bottom w:val="single" w:color="auto" w:sz="4" w:space="0"/>
              <w:right w:val="single" w:color="auto" w:sz="4" w:space="0"/>
            </w:tcBorders>
            <w:vAlign w:val="center"/>
          </w:tcPr>
          <w:p w14:paraId="0B121FDE">
            <w:pPr>
              <w:jc w:val="center"/>
              <w:rPr>
                <w:rFonts w:hint="eastAsia" w:ascii="仿宋_GB2312" w:eastAsia="仿宋_GB2312"/>
                <w:color w:val="000000"/>
                <w:sz w:val="32"/>
                <w:szCs w:val="32"/>
                <w:highlight w:val="none"/>
                <w:lang w:eastAsia="zh-CN"/>
              </w:rPr>
            </w:pPr>
            <w:r>
              <w:rPr>
                <w:rFonts w:hint="eastAsia" w:ascii="仿宋_GB2312" w:eastAsia="仿宋_GB2312"/>
                <w:color w:val="000000"/>
                <w:sz w:val="32"/>
                <w:szCs w:val="32"/>
                <w:highlight w:val="none"/>
                <w:lang w:val="en-US" w:eastAsia="zh-CN"/>
              </w:rPr>
              <w:t>2</w:t>
            </w:r>
          </w:p>
        </w:tc>
        <w:tc>
          <w:tcPr>
            <w:tcW w:w="3780" w:type="dxa"/>
            <w:tcBorders>
              <w:top w:val="nil"/>
              <w:left w:val="single" w:color="auto" w:sz="4" w:space="0"/>
              <w:bottom w:val="single" w:color="auto" w:sz="4" w:space="0"/>
              <w:right w:val="single" w:color="auto" w:sz="4" w:space="0"/>
            </w:tcBorders>
            <w:shd w:val="clear" w:color="auto" w:fill="auto"/>
            <w:vAlign w:val="center"/>
          </w:tcPr>
          <w:p w14:paraId="562C5415">
            <w:pPr>
              <w:rPr>
                <w:rFonts w:ascii="仿宋_GB2312" w:eastAsia="仿宋_GB2312"/>
                <w:color w:val="000000"/>
                <w:sz w:val="32"/>
                <w:szCs w:val="32"/>
                <w:highlight w:val="none"/>
              </w:rPr>
            </w:pPr>
            <w:r>
              <w:rPr>
                <w:rFonts w:hint="eastAsia" w:ascii="仿宋_GB2312" w:eastAsia="仿宋_GB2312"/>
                <w:bCs/>
                <w:color w:val="000000"/>
                <w:sz w:val="32"/>
                <w:szCs w:val="32"/>
                <w:highlight w:val="none"/>
                <w:lang w:eastAsia="zh-CN"/>
              </w:rPr>
              <w:t>通辽经济技术开发区河西街道综合行政执法队</w:t>
            </w:r>
            <w:r>
              <w:rPr>
                <w:rFonts w:hint="eastAsia" w:ascii="仿宋_GB2312" w:eastAsia="仿宋_GB2312"/>
                <w:color w:val="000000"/>
                <w:kern w:val="0"/>
                <w:sz w:val="32"/>
                <w:szCs w:val="32"/>
                <w:highlight w:val="none"/>
              </w:rPr>
              <w:t>（二级单位）</w:t>
            </w:r>
          </w:p>
        </w:tc>
        <w:tc>
          <w:tcPr>
            <w:tcW w:w="3326" w:type="dxa"/>
            <w:tcBorders>
              <w:top w:val="nil"/>
              <w:left w:val="nil"/>
              <w:bottom w:val="single" w:color="auto" w:sz="4" w:space="0"/>
              <w:right w:val="single" w:color="auto" w:sz="4" w:space="0"/>
            </w:tcBorders>
            <w:shd w:val="clear" w:color="auto" w:fill="auto"/>
            <w:noWrap/>
            <w:vAlign w:val="center"/>
          </w:tcPr>
          <w:p w14:paraId="43B4F015">
            <w:pPr>
              <w:jc w:val="center"/>
              <w:rPr>
                <w:rFonts w:ascii="仿宋_GB2312" w:eastAsia="仿宋_GB2312"/>
                <w:color w:val="000000"/>
                <w:sz w:val="32"/>
                <w:szCs w:val="32"/>
                <w:highlight w:val="none"/>
              </w:rPr>
            </w:pPr>
            <w:r>
              <w:rPr>
                <w:rFonts w:hint="eastAsia" w:ascii="仿宋_GB2312" w:eastAsia="仿宋_GB2312"/>
                <w:color w:val="000000"/>
                <w:sz w:val="32"/>
                <w:szCs w:val="32"/>
                <w:highlight w:val="none"/>
              </w:rPr>
              <w:t>事业单位</w:t>
            </w:r>
          </w:p>
        </w:tc>
      </w:tr>
      <w:tr w14:paraId="350EF4E7">
        <w:tblPrEx>
          <w:tblCellMar>
            <w:top w:w="0" w:type="dxa"/>
            <w:left w:w="108" w:type="dxa"/>
            <w:bottom w:w="0" w:type="dxa"/>
            <w:right w:w="108" w:type="dxa"/>
          </w:tblCellMar>
        </w:tblPrEx>
        <w:trPr>
          <w:trHeight w:val="397" w:hRule="atLeast"/>
          <w:jc w:val="center"/>
        </w:trPr>
        <w:tc>
          <w:tcPr>
            <w:tcW w:w="1203" w:type="dxa"/>
            <w:tcBorders>
              <w:top w:val="nil"/>
              <w:left w:val="single" w:color="auto" w:sz="4" w:space="0"/>
              <w:bottom w:val="single" w:color="auto" w:sz="4" w:space="0"/>
              <w:right w:val="single" w:color="auto" w:sz="4" w:space="0"/>
            </w:tcBorders>
            <w:vAlign w:val="center"/>
          </w:tcPr>
          <w:p w14:paraId="2B49D671">
            <w:pPr>
              <w:jc w:val="center"/>
              <w:rPr>
                <w:rFonts w:hint="eastAsia" w:ascii="仿宋_GB2312" w:eastAsia="仿宋_GB2312"/>
                <w:color w:val="000000"/>
                <w:sz w:val="32"/>
                <w:szCs w:val="32"/>
                <w:highlight w:val="none"/>
                <w:lang w:eastAsia="zh-CN"/>
              </w:rPr>
            </w:pPr>
            <w:r>
              <w:rPr>
                <w:rFonts w:hint="eastAsia" w:ascii="仿宋_GB2312" w:eastAsia="仿宋_GB2312"/>
                <w:color w:val="000000"/>
                <w:sz w:val="32"/>
                <w:szCs w:val="32"/>
                <w:highlight w:val="none"/>
                <w:lang w:val="en-US" w:eastAsia="zh-CN"/>
              </w:rPr>
              <w:t>3</w:t>
            </w:r>
          </w:p>
        </w:tc>
        <w:tc>
          <w:tcPr>
            <w:tcW w:w="3780" w:type="dxa"/>
            <w:tcBorders>
              <w:top w:val="nil"/>
              <w:left w:val="single" w:color="auto" w:sz="4" w:space="0"/>
              <w:bottom w:val="single" w:color="auto" w:sz="4" w:space="0"/>
              <w:right w:val="single" w:color="auto" w:sz="4" w:space="0"/>
            </w:tcBorders>
            <w:shd w:val="clear" w:color="auto" w:fill="auto"/>
            <w:vAlign w:val="center"/>
          </w:tcPr>
          <w:p w14:paraId="2F509EEE">
            <w:pPr>
              <w:rPr>
                <w:rFonts w:ascii="仿宋_GB2312" w:eastAsia="仿宋_GB2312"/>
                <w:color w:val="000000"/>
                <w:sz w:val="32"/>
                <w:szCs w:val="32"/>
                <w:highlight w:val="none"/>
              </w:rPr>
            </w:pPr>
            <w:r>
              <w:rPr>
                <w:rFonts w:hint="eastAsia" w:ascii="仿宋_GB2312" w:eastAsia="仿宋_GB2312"/>
                <w:bCs/>
                <w:color w:val="000000"/>
                <w:sz w:val="32"/>
                <w:szCs w:val="32"/>
                <w:highlight w:val="none"/>
                <w:lang w:eastAsia="zh-CN"/>
              </w:rPr>
              <w:t>通辽经济技术开发区河西街</w:t>
            </w:r>
            <w:r>
              <w:rPr>
                <w:rFonts w:hint="eastAsia" w:ascii="仿宋_GB2312" w:eastAsia="仿宋_GB2312"/>
                <w:color w:val="000000"/>
                <w:kern w:val="0"/>
                <w:sz w:val="32"/>
                <w:szCs w:val="32"/>
                <w:highlight w:val="none"/>
                <w:lang w:eastAsia="zh-CN"/>
              </w:rPr>
              <w:t>党群服务中心</w:t>
            </w:r>
            <w:r>
              <w:rPr>
                <w:rFonts w:hint="eastAsia" w:ascii="仿宋_GB2312" w:eastAsia="仿宋_GB2312"/>
                <w:color w:val="000000"/>
                <w:kern w:val="0"/>
                <w:sz w:val="32"/>
                <w:szCs w:val="32"/>
                <w:highlight w:val="none"/>
              </w:rPr>
              <w:t>（二级单位）</w:t>
            </w:r>
          </w:p>
        </w:tc>
        <w:tc>
          <w:tcPr>
            <w:tcW w:w="3326" w:type="dxa"/>
            <w:tcBorders>
              <w:top w:val="nil"/>
              <w:left w:val="nil"/>
              <w:bottom w:val="single" w:color="auto" w:sz="4" w:space="0"/>
              <w:right w:val="single" w:color="auto" w:sz="4" w:space="0"/>
            </w:tcBorders>
            <w:shd w:val="clear" w:color="auto" w:fill="auto"/>
            <w:noWrap/>
            <w:vAlign w:val="center"/>
          </w:tcPr>
          <w:p w14:paraId="2096A809">
            <w:pPr>
              <w:jc w:val="center"/>
              <w:rPr>
                <w:rFonts w:ascii="仿宋_GB2312" w:eastAsia="仿宋_GB2312"/>
                <w:color w:val="000000"/>
                <w:sz w:val="32"/>
                <w:szCs w:val="32"/>
                <w:highlight w:val="none"/>
              </w:rPr>
            </w:pPr>
            <w:r>
              <w:rPr>
                <w:rFonts w:hint="eastAsia" w:ascii="仿宋_GB2312" w:eastAsia="仿宋_GB2312"/>
                <w:color w:val="000000"/>
                <w:sz w:val="32"/>
                <w:szCs w:val="32"/>
                <w:highlight w:val="none"/>
              </w:rPr>
              <w:t>事业单位</w:t>
            </w:r>
          </w:p>
        </w:tc>
      </w:tr>
    </w:tbl>
    <w:p w14:paraId="4DF9636D">
      <w:pPr>
        <w:spacing w:line="500" w:lineRule="exact"/>
        <w:jc w:val="center"/>
        <w:rPr>
          <w:rFonts w:ascii="方正小标宋简体" w:eastAsia="方正小标宋简体"/>
          <w:sz w:val="36"/>
          <w:szCs w:val="36"/>
          <w:highlight w:val="none"/>
        </w:rPr>
      </w:pPr>
    </w:p>
    <w:p w14:paraId="07133D88">
      <w:pPr>
        <w:spacing w:line="560" w:lineRule="exact"/>
        <w:jc w:val="center"/>
        <w:rPr>
          <w:rFonts w:ascii="楷体_GB2312" w:eastAsia="楷体_GB2312"/>
          <w:b/>
          <w:sz w:val="36"/>
          <w:szCs w:val="36"/>
          <w:highlight w:val="none"/>
        </w:rPr>
      </w:pPr>
      <w:r>
        <w:rPr>
          <w:rFonts w:hint="eastAsia" w:ascii="楷体_GB2312" w:eastAsia="楷体_GB2312"/>
          <w:b/>
          <w:sz w:val="36"/>
          <w:szCs w:val="36"/>
          <w:highlight w:val="none"/>
        </w:rPr>
        <w:t xml:space="preserve">第二部分 </w:t>
      </w:r>
      <w:r>
        <w:rPr>
          <w:rFonts w:hint="eastAsia" w:ascii="楷体_GB2312" w:eastAsia="楷体_GB2312"/>
          <w:b/>
          <w:sz w:val="36"/>
          <w:szCs w:val="36"/>
          <w:highlight w:val="none"/>
          <w:lang w:eastAsia="zh-CN"/>
        </w:rPr>
        <w:t>202</w:t>
      </w:r>
      <w:r>
        <w:rPr>
          <w:rFonts w:hint="eastAsia" w:ascii="楷体_GB2312" w:eastAsia="楷体_GB2312"/>
          <w:b/>
          <w:sz w:val="36"/>
          <w:szCs w:val="36"/>
          <w:highlight w:val="none"/>
          <w:lang w:val="en-US" w:eastAsia="zh-CN"/>
        </w:rPr>
        <w:t>6</w:t>
      </w:r>
      <w:r>
        <w:rPr>
          <w:rFonts w:hint="eastAsia" w:ascii="楷体_GB2312" w:eastAsia="楷体_GB2312"/>
          <w:b/>
          <w:sz w:val="36"/>
          <w:szCs w:val="36"/>
          <w:highlight w:val="none"/>
          <w:lang w:eastAsia="zh-CN"/>
        </w:rPr>
        <w:t>年</w:t>
      </w:r>
      <w:r>
        <w:rPr>
          <w:rFonts w:hint="eastAsia" w:ascii="楷体_GB2312" w:eastAsia="楷体_GB2312"/>
          <w:b/>
          <w:sz w:val="36"/>
          <w:szCs w:val="36"/>
          <w:highlight w:val="none"/>
        </w:rPr>
        <w:t>部门预算安排情况说明</w:t>
      </w:r>
    </w:p>
    <w:p w14:paraId="522BFF85">
      <w:pPr>
        <w:spacing w:line="560" w:lineRule="exact"/>
        <w:ind w:firstLine="640" w:firstLineChars="200"/>
        <w:rPr>
          <w:rFonts w:ascii="黑体" w:eastAsia="黑体"/>
          <w:sz w:val="36"/>
          <w:szCs w:val="36"/>
          <w:highlight w:val="none"/>
        </w:rPr>
      </w:pPr>
      <w:r>
        <w:rPr>
          <w:rFonts w:hint="eastAsia" w:ascii="黑体" w:hAnsi="黑体" w:eastAsia="黑体"/>
          <w:color w:val="000000"/>
          <w:sz w:val="32"/>
          <w:szCs w:val="32"/>
          <w:highlight w:val="none"/>
        </w:rPr>
        <w:t>一、部门预算收支总体情况说明</w:t>
      </w:r>
    </w:p>
    <w:p w14:paraId="7F38C7D3">
      <w:pPr>
        <w:adjustRightInd w:val="0"/>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收入预算</w:t>
      </w:r>
      <w:r>
        <w:rPr>
          <w:rFonts w:hint="eastAsia" w:ascii="仿宋_GB2312" w:eastAsia="仿宋_GB2312"/>
          <w:sz w:val="32"/>
          <w:szCs w:val="32"/>
          <w:highlight w:val="none"/>
          <w:lang w:val="en-US" w:eastAsia="zh-CN"/>
        </w:rPr>
        <w:t>2410.21</w:t>
      </w:r>
      <w:r>
        <w:rPr>
          <w:rFonts w:hint="eastAsia" w:ascii="仿宋_GB2312" w:eastAsia="仿宋_GB2312"/>
          <w:sz w:val="32"/>
          <w:szCs w:val="32"/>
          <w:highlight w:val="none"/>
        </w:rPr>
        <w:t>万元，比</w:t>
      </w:r>
      <w:r>
        <w:rPr>
          <w:rFonts w:hint="eastAsia" w:ascii="仿宋_GB2312" w:eastAsia="仿宋_GB2312"/>
          <w:sz w:val="32"/>
          <w:szCs w:val="32"/>
          <w:highlight w:val="none"/>
          <w:lang w:val="en-US" w:eastAsia="zh-CN"/>
        </w:rPr>
        <w:t>上</w:t>
      </w:r>
      <w:r>
        <w:rPr>
          <w:rFonts w:hint="eastAsia" w:ascii="仿宋_GB2312" w:eastAsia="仿宋_GB2312"/>
          <w:sz w:val="32"/>
          <w:szCs w:val="32"/>
          <w:highlight w:val="none"/>
        </w:rPr>
        <w:t>年预算增加</w:t>
      </w:r>
      <w:r>
        <w:rPr>
          <w:rFonts w:hint="eastAsia" w:ascii="仿宋_GB2312" w:eastAsia="仿宋_GB2312"/>
          <w:sz w:val="32"/>
          <w:szCs w:val="32"/>
          <w:highlight w:val="none"/>
          <w:lang w:val="en-US" w:eastAsia="zh-CN"/>
        </w:rPr>
        <w:t>56.06</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2.38</w:t>
      </w:r>
      <w:r>
        <w:rPr>
          <w:rFonts w:hint="eastAsia" w:ascii="仿宋_GB2312" w:eastAsia="仿宋_GB2312"/>
          <w:sz w:val="32"/>
          <w:szCs w:val="32"/>
          <w:highlight w:val="none"/>
        </w:rPr>
        <w:t>%，增加主要是由于</w:t>
      </w:r>
      <w:r>
        <w:rPr>
          <w:rFonts w:hint="eastAsia" w:ascii="仿宋_GB2312" w:eastAsia="仿宋_GB2312"/>
          <w:sz w:val="32"/>
          <w:szCs w:val="32"/>
          <w:highlight w:val="none"/>
          <w:lang w:eastAsia="zh-CN"/>
        </w:rPr>
        <w:t>我单位新增人员工资及社保、办公经费及项目预算收入</w:t>
      </w:r>
      <w:r>
        <w:rPr>
          <w:rFonts w:hint="eastAsia" w:ascii="仿宋_GB2312" w:eastAsia="仿宋_GB2312"/>
          <w:sz w:val="32"/>
          <w:szCs w:val="32"/>
          <w:highlight w:val="none"/>
        </w:rPr>
        <w:t>。</w:t>
      </w:r>
    </w:p>
    <w:p w14:paraId="13C026BA">
      <w:pPr>
        <w:adjustRightInd w:val="0"/>
        <w:snapToGrid w:val="0"/>
        <w:spacing w:line="500" w:lineRule="exact"/>
        <w:ind w:firstLine="640"/>
        <w:rPr>
          <w:rFonts w:ascii="仿宋_GB2312" w:eastAsia="仿宋_GB2312"/>
          <w:sz w:val="32"/>
          <w:szCs w:val="32"/>
          <w:highlight w:val="none"/>
        </w:rPr>
      </w:pPr>
      <w:r>
        <w:rPr>
          <w:rFonts w:hint="eastAsia" w:ascii="仿宋_GB2312" w:eastAsia="仿宋_GB2312"/>
          <w:sz w:val="32"/>
          <w:szCs w:val="32"/>
          <w:highlight w:val="none"/>
        </w:rPr>
        <w:t>支出预算</w:t>
      </w:r>
      <w:r>
        <w:rPr>
          <w:rFonts w:hint="eastAsia" w:ascii="仿宋_GB2312" w:eastAsia="仿宋_GB2312"/>
          <w:sz w:val="32"/>
          <w:szCs w:val="32"/>
          <w:highlight w:val="none"/>
          <w:lang w:val="en-US" w:eastAsia="zh-CN"/>
        </w:rPr>
        <w:t>2410.21</w:t>
      </w:r>
      <w:r>
        <w:rPr>
          <w:rFonts w:hint="eastAsia" w:ascii="仿宋_GB2312" w:eastAsia="仿宋_GB2312"/>
          <w:sz w:val="32"/>
          <w:szCs w:val="32"/>
          <w:highlight w:val="none"/>
        </w:rPr>
        <w:t>万元，比</w:t>
      </w:r>
      <w:r>
        <w:rPr>
          <w:rFonts w:hint="eastAsia" w:ascii="仿宋_GB2312" w:eastAsia="仿宋_GB2312"/>
          <w:sz w:val="32"/>
          <w:szCs w:val="32"/>
          <w:highlight w:val="none"/>
          <w:lang w:val="en-US" w:eastAsia="zh-CN"/>
        </w:rPr>
        <w:t>上</w:t>
      </w:r>
      <w:r>
        <w:rPr>
          <w:rFonts w:hint="eastAsia" w:ascii="仿宋_GB2312" w:eastAsia="仿宋_GB2312"/>
          <w:sz w:val="32"/>
          <w:szCs w:val="32"/>
          <w:highlight w:val="none"/>
        </w:rPr>
        <w:t>年预算增加</w:t>
      </w:r>
      <w:r>
        <w:rPr>
          <w:rFonts w:hint="eastAsia" w:ascii="仿宋_GB2312" w:eastAsia="仿宋_GB2312"/>
          <w:sz w:val="32"/>
          <w:szCs w:val="32"/>
          <w:highlight w:val="none"/>
          <w:lang w:val="en-US" w:eastAsia="zh-CN"/>
        </w:rPr>
        <w:t>56.06</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2.38</w:t>
      </w:r>
      <w:r>
        <w:rPr>
          <w:rFonts w:hint="eastAsia" w:ascii="仿宋_GB2312" w:eastAsia="仿宋_GB2312"/>
          <w:sz w:val="32"/>
          <w:szCs w:val="32"/>
          <w:highlight w:val="none"/>
        </w:rPr>
        <w:t>%，增加主要是由于</w:t>
      </w:r>
      <w:r>
        <w:rPr>
          <w:rFonts w:hint="eastAsia" w:ascii="仿宋_GB2312" w:eastAsia="仿宋_GB2312"/>
          <w:sz w:val="32"/>
          <w:szCs w:val="32"/>
          <w:highlight w:val="none"/>
          <w:lang w:eastAsia="zh-CN"/>
        </w:rPr>
        <w:t>我单位新增人员工资性支出、办公经费及项目预算支出</w:t>
      </w:r>
      <w:r>
        <w:rPr>
          <w:rFonts w:hint="eastAsia" w:ascii="仿宋_GB2312" w:eastAsia="仿宋_GB2312"/>
          <w:sz w:val="32"/>
          <w:szCs w:val="32"/>
          <w:highlight w:val="none"/>
        </w:rPr>
        <w:t>。</w:t>
      </w:r>
    </w:p>
    <w:p w14:paraId="2DEFE1EC">
      <w:pPr>
        <w:adjustRightInd w:val="0"/>
        <w:snapToGrid w:val="0"/>
        <w:spacing w:line="560" w:lineRule="exact"/>
        <w:ind w:firstLine="640" w:firstLineChars="200"/>
        <w:rPr>
          <w:rFonts w:ascii="黑体" w:hAnsi="黑体" w:eastAsia="黑体"/>
          <w:color w:val="000000"/>
          <w:sz w:val="32"/>
          <w:szCs w:val="32"/>
          <w:highlight w:val="none"/>
        </w:rPr>
      </w:pPr>
      <w:r>
        <w:rPr>
          <w:rFonts w:hint="eastAsia" w:ascii="楷体_GB2312" w:hAnsi="黑体" w:eastAsia="楷体_GB2312"/>
          <w:sz w:val="32"/>
          <w:szCs w:val="32"/>
          <w:highlight w:val="none"/>
        </w:rPr>
        <w:t>（一）部门预算收入情况说明</w:t>
      </w:r>
    </w:p>
    <w:p w14:paraId="547DF7F9">
      <w:pPr>
        <w:adjustRightInd w:val="0"/>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部门预算收入</w:t>
      </w:r>
      <w:r>
        <w:rPr>
          <w:rFonts w:hint="eastAsia" w:ascii="仿宋_GB2312" w:eastAsia="仿宋_GB2312"/>
          <w:sz w:val="32"/>
          <w:szCs w:val="32"/>
          <w:highlight w:val="none"/>
          <w:lang w:val="en-US" w:eastAsia="zh-CN"/>
        </w:rPr>
        <w:t>2410.21</w:t>
      </w:r>
      <w:r>
        <w:rPr>
          <w:rFonts w:hint="eastAsia" w:ascii="仿宋_GB2312" w:eastAsia="仿宋_GB2312"/>
          <w:sz w:val="32"/>
          <w:szCs w:val="32"/>
          <w:highlight w:val="none"/>
        </w:rPr>
        <w:t>万元，其中：一般公共预算拨款收入</w:t>
      </w:r>
      <w:r>
        <w:rPr>
          <w:rFonts w:hint="eastAsia" w:ascii="仿宋_GB2312" w:eastAsia="仿宋_GB2312"/>
          <w:sz w:val="32"/>
          <w:szCs w:val="32"/>
          <w:highlight w:val="none"/>
          <w:lang w:val="en-US" w:eastAsia="zh-CN"/>
        </w:rPr>
        <w:t>2380.01</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98.75</w:t>
      </w:r>
      <w:r>
        <w:rPr>
          <w:rFonts w:hint="eastAsia" w:ascii="仿宋_GB2312" w:eastAsia="仿宋_GB2312"/>
          <w:sz w:val="32"/>
          <w:szCs w:val="32"/>
          <w:highlight w:val="none"/>
        </w:rPr>
        <w:t>%；政府性基金预算拨款收入</w:t>
      </w:r>
      <w:r>
        <w:rPr>
          <w:rFonts w:hint="eastAsia" w:ascii="仿宋_GB2312" w:eastAsia="仿宋_GB2312"/>
          <w:sz w:val="32"/>
          <w:szCs w:val="32"/>
          <w:highlight w:val="none"/>
          <w:lang w:val="en-US" w:eastAsia="zh-CN"/>
        </w:rPr>
        <w:t>4.32</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0.18</w:t>
      </w:r>
      <w:r>
        <w:rPr>
          <w:rFonts w:hint="eastAsia" w:ascii="仿宋_GB2312" w:eastAsia="仿宋_GB2312"/>
          <w:sz w:val="32"/>
          <w:szCs w:val="32"/>
          <w:highlight w:val="none"/>
        </w:rPr>
        <w:t>%；事业收入</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%；事业单位经营收入</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%；，其他收入</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%；上年结转</w:t>
      </w:r>
      <w:r>
        <w:rPr>
          <w:rFonts w:hint="eastAsia" w:ascii="仿宋_GB2312" w:eastAsia="仿宋_GB2312"/>
          <w:sz w:val="32"/>
          <w:szCs w:val="32"/>
          <w:highlight w:val="none"/>
          <w:lang w:val="en-US" w:eastAsia="zh-CN"/>
        </w:rPr>
        <w:t>25.88</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1.07</w:t>
      </w:r>
      <w:r>
        <w:rPr>
          <w:rFonts w:hint="eastAsia" w:ascii="仿宋_GB2312" w:eastAsia="仿宋_GB2312"/>
          <w:sz w:val="32"/>
          <w:szCs w:val="32"/>
          <w:highlight w:val="none"/>
        </w:rPr>
        <w:t>%，用事业基金弥补的收支差额</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p>
    <w:p w14:paraId="496D63B7">
      <w:pPr>
        <w:numPr>
          <w:ilvl w:val="0"/>
          <w:numId w:val="1"/>
        </w:numPr>
        <w:adjustRightInd w:val="0"/>
        <w:snapToGrid w:val="0"/>
        <w:spacing w:line="500" w:lineRule="exact"/>
        <w:ind w:firstLine="640" w:firstLineChars="200"/>
        <w:rPr>
          <w:rFonts w:hint="eastAsia" w:ascii="楷体_GB2312" w:hAnsi="黑体" w:eastAsia="楷体_GB2312"/>
          <w:sz w:val="32"/>
          <w:szCs w:val="32"/>
          <w:highlight w:val="none"/>
        </w:rPr>
      </w:pPr>
      <w:r>
        <w:rPr>
          <w:rFonts w:hint="eastAsia" w:ascii="楷体_GB2312" w:hAnsi="黑体" w:eastAsia="楷体_GB2312"/>
          <w:sz w:val="32"/>
          <w:szCs w:val="32"/>
          <w:highlight w:val="none"/>
        </w:rPr>
        <w:t>部门预算支出情况说明</w:t>
      </w:r>
    </w:p>
    <w:p w14:paraId="1C19DB59">
      <w:pPr>
        <w:numPr>
          <w:ilvl w:val="0"/>
          <w:numId w:val="0"/>
        </w:numPr>
        <w:adjustRightInd w:val="0"/>
        <w:snapToGrid w:val="0"/>
        <w:spacing w:line="500" w:lineRule="exact"/>
        <w:ind w:firstLine="640" w:firstLineChars="200"/>
        <w:rPr>
          <w:rFonts w:hint="eastAsia" w:ascii="仿宋_GB2312" w:eastAsia="仿宋_GB2312"/>
          <w:sz w:val="32"/>
          <w:szCs w:val="32"/>
          <w:highlight w:val="none"/>
          <w:lang w:eastAsia="zh-CN"/>
        </w:rPr>
      </w:pPr>
      <w:r>
        <w:rPr>
          <w:rFonts w:hint="eastAsia" w:ascii="仿宋_GB2312" w:eastAsia="仿宋_GB2312"/>
          <w:sz w:val="32"/>
          <w:szCs w:val="32"/>
          <w:highlight w:val="none"/>
        </w:rPr>
        <w:t>部门预算支出</w:t>
      </w:r>
      <w:r>
        <w:rPr>
          <w:rFonts w:hint="eastAsia" w:ascii="仿宋_GB2312" w:eastAsia="仿宋_GB2312"/>
          <w:sz w:val="32"/>
          <w:szCs w:val="32"/>
          <w:highlight w:val="none"/>
          <w:lang w:val="en-US" w:eastAsia="zh-CN"/>
        </w:rPr>
        <w:t>2380.01</w:t>
      </w:r>
      <w:r>
        <w:rPr>
          <w:rFonts w:hint="eastAsia" w:ascii="仿宋_GB2312" w:eastAsia="仿宋_GB2312"/>
          <w:sz w:val="32"/>
          <w:szCs w:val="32"/>
          <w:highlight w:val="none"/>
        </w:rPr>
        <w:t>万元，其中：基本支出</w:t>
      </w:r>
      <w:r>
        <w:rPr>
          <w:rFonts w:hint="eastAsia" w:ascii="仿宋_GB2312" w:eastAsia="仿宋_GB2312"/>
          <w:sz w:val="32"/>
          <w:szCs w:val="32"/>
          <w:highlight w:val="none"/>
          <w:lang w:val="en-US" w:eastAsia="zh-CN"/>
        </w:rPr>
        <w:t>1212.45万</w:t>
      </w:r>
      <w:r>
        <w:rPr>
          <w:rFonts w:hint="eastAsia" w:ascii="仿宋_GB2312" w:eastAsia="仿宋_GB2312"/>
          <w:sz w:val="32"/>
          <w:szCs w:val="32"/>
          <w:highlight w:val="none"/>
        </w:rPr>
        <w:t>元(其中：人员经费</w:t>
      </w:r>
      <w:r>
        <w:rPr>
          <w:rFonts w:hint="eastAsia" w:ascii="仿宋_GB2312" w:eastAsia="仿宋_GB2312"/>
          <w:sz w:val="32"/>
          <w:szCs w:val="32"/>
          <w:highlight w:val="none"/>
          <w:lang w:val="en-US" w:eastAsia="zh-CN"/>
        </w:rPr>
        <w:t>1120.22</w:t>
      </w:r>
      <w:r>
        <w:rPr>
          <w:rFonts w:hint="eastAsia" w:ascii="仿宋_GB2312" w:eastAsia="仿宋_GB2312"/>
          <w:sz w:val="32"/>
          <w:szCs w:val="32"/>
          <w:highlight w:val="none"/>
        </w:rPr>
        <w:t>万元，公用经费</w:t>
      </w:r>
      <w:r>
        <w:rPr>
          <w:rFonts w:hint="eastAsia" w:ascii="仿宋_GB2312" w:eastAsia="仿宋_GB2312"/>
          <w:sz w:val="32"/>
          <w:szCs w:val="32"/>
          <w:highlight w:val="none"/>
          <w:lang w:val="en-US" w:eastAsia="zh-CN"/>
        </w:rPr>
        <w:t>92.22</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50.94</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58.38</w:t>
      </w:r>
      <w:r>
        <w:rPr>
          <w:rFonts w:hint="eastAsia" w:ascii="仿宋_GB2312" w:eastAsia="仿宋_GB2312"/>
          <w:sz w:val="32"/>
          <w:szCs w:val="32"/>
          <w:highlight w:val="none"/>
        </w:rPr>
        <w:t>万元。基本支出增加的主要原因是</w:t>
      </w:r>
      <w:r>
        <w:rPr>
          <w:rFonts w:hint="eastAsia" w:ascii="仿宋_GB2312" w:eastAsia="仿宋_GB2312"/>
          <w:sz w:val="32"/>
          <w:szCs w:val="32"/>
          <w:highlight w:val="none"/>
          <w:lang w:eastAsia="zh-CN"/>
        </w:rPr>
        <w:t>人员新增工资性支出及公用经费支出增加</w:t>
      </w:r>
      <w:r>
        <w:rPr>
          <w:rFonts w:hint="eastAsia" w:ascii="仿宋_GB2312" w:eastAsia="仿宋_GB2312"/>
          <w:sz w:val="32"/>
          <w:szCs w:val="32"/>
          <w:highlight w:val="none"/>
        </w:rPr>
        <w:t xml:space="preserve">；项目支出  </w:t>
      </w:r>
      <w:r>
        <w:rPr>
          <w:rFonts w:hint="eastAsia" w:ascii="仿宋_GB2312" w:eastAsia="仿宋_GB2312"/>
          <w:sz w:val="32"/>
          <w:szCs w:val="32"/>
          <w:highlight w:val="none"/>
          <w:lang w:val="en-US" w:eastAsia="zh-CN"/>
        </w:rPr>
        <w:t>1167.56</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49.06</w:t>
      </w:r>
      <w:r>
        <w:rPr>
          <w:rFonts w:hint="eastAsia" w:ascii="仿宋_GB2312" w:eastAsia="仿宋_GB2312"/>
          <w:sz w:val="32"/>
          <w:szCs w:val="32"/>
          <w:highlight w:val="none"/>
        </w:rPr>
        <w:t>%；比上年</w:t>
      </w:r>
      <w:r>
        <w:rPr>
          <w:rFonts w:hint="eastAsia" w:ascii="仿宋_GB2312" w:eastAsia="仿宋_GB2312"/>
          <w:sz w:val="32"/>
          <w:szCs w:val="32"/>
          <w:highlight w:val="none"/>
          <w:lang w:eastAsia="zh-CN"/>
        </w:rPr>
        <w:t>减少</w:t>
      </w:r>
      <w:r>
        <w:rPr>
          <w:rFonts w:hint="eastAsia" w:ascii="仿宋_GB2312" w:eastAsia="仿宋_GB2312"/>
          <w:sz w:val="32"/>
          <w:szCs w:val="32"/>
          <w:highlight w:val="none"/>
          <w:lang w:val="en-US" w:eastAsia="zh-CN"/>
        </w:rPr>
        <w:t>28.8</w:t>
      </w:r>
      <w:r>
        <w:rPr>
          <w:rFonts w:hint="eastAsia" w:ascii="仿宋_GB2312" w:eastAsia="仿宋_GB2312"/>
          <w:sz w:val="32"/>
          <w:szCs w:val="32"/>
          <w:highlight w:val="none"/>
        </w:rPr>
        <w:t>万元，降幅</w:t>
      </w:r>
      <w:r>
        <w:rPr>
          <w:rFonts w:hint="eastAsia" w:ascii="仿宋_GB2312" w:eastAsia="仿宋_GB2312"/>
          <w:sz w:val="32"/>
          <w:szCs w:val="32"/>
          <w:highlight w:val="none"/>
          <w:lang w:val="en-US" w:eastAsia="zh-CN"/>
        </w:rPr>
        <w:t>2.41</w:t>
      </w:r>
      <w:r>
        <w:rPr>
          <w:rFonts w:hint="eastAsia" w:ascii="仿宋_GB2312" w:eastAsia="仿宋_GB2312"/>
          <w:sz w:val="32"/>
          <w:szCs w:val="32"/>
          <w:highlight w:val="none"/>
        </w:rPr>
        <w:t>%，主要原因</w:t>
      </w:r>
      <w:r>
        <w:rPr>
          <w:rFonts w:hint="eastAsia" w:ascii="仿宋_GB2312" w:eastAsia="仿宋_GB2312"/>
          <w:sz w:val="32"/>
          <w:szCs w:val="32"/>
          <w:highlight w:val="none"/>
          <w:lang w:eastAsia="zh-CN"/>
        </w:rPr>
        <w:t>是本年项目有所缩减</w:t>
      </w:r>
      <w:r>
        <w:rPr>
          <w:rFonts w:hint="eastAsia" w:ascii="仿宋_GB2312" w:eastAsia="仿宋_GB2312"/>
          <w:sz w:val="32"/>
          <w:szCs w:val="32"/>
          <w:highlight w:val="none"/>
        </w:rPr>
        <w:t xml:space="preserve">；事业单位经营支出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万元，占比</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p>
    <w:p w14:paraId="0D35632B">
      <w:pPr>
        <w:spacing w:line="500" w:lineRule="exact"/>
        <w:ind w:firstLine="640" w:firstLineChars="200"/>
        <w:rPr>
          <w:rFonts w:ascii="方正小标宋简体" w:eastAsia="方正小标宋简体"/>
          <w:sz w:val="36"/>
          <w:szCs w:val="36"/>
          <w:highlight w:val="none"/>
        </w:rPr>
      </w:pPr>
      <w:r>
        <w:rPr>
          <w:rFonts w:hint="eastAsia" w:ascii="黑体" w:hAnsi="黑体" w:eastAsia="黑体"/>
          <w:color w:val="000000"/>
          <w:sz w:val="32"/>
          <w:szCs w:val="32"/>
          <w:highlight w:val="none"/>
        </w:rPr>
        <w:t>二、一般公共预算财政拨款收支情况说明</w:t>
      </w:r>
    </w:p>
    <w:p w14:paraId="197E6404">
      <w:pPr>
        <w:spacing w:line="500" w:lineRule="exact"/>
        <w:ind w:firstLine="640" w:firstLineChars="200"/>
        <w:rPr>
          <w:rFonts w:ascii="楷体_GB2312" w:eastAsia="楷体_GB2312"/>
          <w:sz w:val="36"/>
          <w:szCs w:val="36"/>
          <w:highlight w:val="none"/>
        </w:rPr>
      </w:pPr>
      <w:r>
        <w:rPr>
          <w:rFonts w:hint="eastAsia" w:ascii="楷体_GB2312" w:eastAsia="楷体_GB2312"/>
          <w:sz w:val="32"/>
          <w:szCs w:val="32"/>
          <w:highlight w:val="none"/>
        </w:rPr>
        <w:t>（一）财政拨款规模情况</w:t>
      </w:r>
    </w:p>
    <w:p w14:paraId="3335FEDF">
      <w:pPr>
        <w:spacing w:line="500" w:lineRule="exact"/>
        <w:ind w:firstLine="640" w:firstLineChars="200"/>
        <w:rPr>
          <w:rFonts w:ascii="仿宋_GB2312" w:eastAsia="仿宋_GB2312"/>
          <w:b/>
          <w:sz w:val="36"/>
          <w:szCs w:val="36"/>
          <w:highlight w:val="none"/>
        </w:rPr>
      </w:pPr>
      <w:r>
        <w:rPr>
          <w:rFonts w:hint="eastAsia" w:ascii="仿宋_GB2312" w:eastAsia="仿宋_GB2312"/>
          <w:sz w:val="32"/>
          <w:szCs w:val="32"/>
          <w:highlight w:val="none"/>
        </w:rPr>
        <w:t>财政拨款收支预算</w:t>
      </w:r>
      <w:r>
        <w:rPr>
          <w:rFonts w:hint="eastAsia" w:ascii="仿宋_GB2312" w:eastAsia="仿宋_GB2312"/>
          <w:sz w:val="32"/>
          <w:szCs w:val="32"/>
          <w:highlight w:val="none"/>
          <w:lang w:val="en-US" w:eastAsia="zh-CN"/>
        </w:rPr>
        <w:t>2410.21</w:t>
      </w:r>
      <w:r>
        <w:rPr>
          <w:rFonts w:hint="eastAsia" w:ascii="仿宋_GB2312" w:eastAsia="仿宋_GB2312"/>
          <w:sz w:val="32"/>
          <w:szCs w:val="32"/>
          <w:highlight w:val="none"/>
        </w:rPr>
        <w:t>万元，包括：一般公共预算财政拨款</w:t>
      </w:r>
      <w:r>
        <w:rPr>
          <w:rFonts w:hint="eastAsia" w:ascii="仿宋_GB2312" w:eastAsia="仿宋_GB2312"/>
          <w:sz w:val="32"/>
          <w:szCs w:val="32"/>
          <w:highlight w:val="none"/>
          <w:lang w:val="en-US" w:eastAsia="zh-CN"/>
        </w:rPr>
        <w:t>2380.01</w:t>
      </w:r>
      <w:r>
        <w:rPr>
          <w:rFonts w:hint="eastAsia" w:ascii="仿宋_GB2312" w:eastAsia="仿宋_GB2312"/>
          <w:sz w:val="32"/>
          <w:szCs w:val="32"/>
          <w:highlight w:val="none"/>
        </w:rPr>
        <w:t>万元，政府性基金预算财政拨款</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万元，上年结转 </w:t>
      </w:r>
      <w:r>
        <w:rPr>
          <w:rFonts w:hint="eastAsia" w:ascii="仿宋_GB2312" w:eastAsia="仿宋_GB2312"/>
          <w:sz w:val="32"/>
          <w:szCs w:val="32"/>
          <w:highlight w:val="none"/>
          <w:lang w:val="en-US" w:eastAsia="zh-CN"/>
        </w:rPr>
        <w:t>25.88</w:t>
      </w:r>
      <w:r>
        <w:rPr>
          <w:rFonts w:hint="eastAsia" w:ascii="仿宋_GB2312" w:eastAsia="仿宋_GB2312"/>
          <w:sz w:val="32"/>
          <w:szCs w:val="32"/>
          <w:highlight w:val="none"/>
        </w:rPr>
        <w:t>万元。</w:t>
      </w:r>
    </w:p>
    <w:p w14:paraId="79DA3889">
      <w:pPr>
        <w:spacing w:line="500" w:lineRule="exact"/>
        <w:ind w:firstLine="640" w:firstLineChars="200"/>
        <w:rPr>
          <w:rFonts w:ascii="仿宋_GB2312" w:eastAsia="仿宋_GB2312"/>
          <w:sz w:val="32"/>
          <w:szCs w:val="32"/>
          <w:highlight w:val="none"/>
        </w:rPr>
      </w:pPr>
      <w:r>
        <w:rPr>
          <w:rFonts w:hint="eastAsia" w:ascii="楷体_GB2312" w:eastAsia="楷体_GB2312"/>
          <w:sz w:val="32"/>
          <w:szCs w:val="32"/>
          <w:highlight w:val="none"/>
        </w:rPr>
        <w:t>（二）</w:t>
      </w:r>
      <w:r>
        <w:rPr>
          <w:rFonts w:hint="eastAsia" w:ascii="仿宋_GB2312" w:eastAsia="仿宋_GB2312"/>
          <w:sz w:val="32"/>
          <w:szCs w:val="32"/>
          <w:highlight w:val="none"/>
        </w:rPr>
        <w:t>一般公共</w:t>
      </w:r>
      <w:r>
        <w:rPr>
          <w:rFonts w:hint="eastAsia" w:ascii="楷体_GB2312" w:eastAsia="楷体_GB2312"/>
          <w:sz w:val="32"/>
          <w:szCs w:val="32"/>
          <w:highlight w:val="none"/>
        </w:rPr>
        <w:t>预算财政拨款具体使用安排情况</w:t>
      </w:r>
    </w:p>
    <w:p w14:paraId="7F47109D">
      <w:pPr>
        <w:adjustRightInd w:val="0"/>
        <w:snapToGrid w:val="0"/>
        <w:spacing w:line="500" w:lineRule="exact"/>
        <w:ind w:firstLine="643" w:firstLineChars="200"/>
        <w:rPr>
          <w:rFonts w:ascii="仿宋_GB2312" w:eastAsia="仿宋_GB2312"/>
          <w:sz w:val="32"/>
          <w:szCs w:val="32"/>
          <w:highlight w:val="none"/>
        </w:rPr>
      </w:pPr>
      <w:r>
        <w:rPr>
          <w:rFonts w:hint="eastAsia" w:ascii="仿宋_GB2312" w:eastAsia="仿宋_GB2312"/>
          <w:b/>
          <w:sz w:val="32"/>
          <w:szCs w:val="32"/>
          <w:highlight w:val="none"/>
        </w:rPr>
        <w:t>1.一般公共服务类</w:t>
      </w:r>
      <w:r>
        <w:rPr>
          <w:rFonts w:hint="eastAsia" w:ascii="仿宋_GB2312" w:eastAsia="仿宋_GB2312"/>
          <w:sz w:val="32"/>
          <w:szCs w:val="32"/>
          <w:highlight w:val="none"/>
        </w:rPr>
        <w:t xml:space="preserve"> </w:t>
      </w:r>
      <w:r>
        <w:rPr>
          <w:rFonts w:hint="eastAsia" w:ascii="仿宋_GB2312" w:eastAsia="仿宋_GB2312"/>
          <w:sz w:val="32"/>
          <w:szCs w:val="32"/>
          <w:highlight w:val="none"/>
          <w:lang w:val="en-US" w:eastAsia="zh-CN"/>
        </w:rPr>
        <w:t>1184.45</w:t>
      </w:r>
      <w:r>
        <w:rPr>
          <w:rFonts w:hint="eastAsia" w:ascii="仿宋_GB2312" w:eastAsia="仿宋_GB2312"/>
          <w:sz w:val="32"/>
          <w:szCs w:val="32"/>
          <w:highlight w:val="none"/>
        </w:rPr>
        <w:t xml:space="preserve">万元，比上年预算数增加  </w:t>
      </w:r>
      <w:r>
        <w:rPr>
          <w:rFonts w:hint="eastAsia" w:ascii="仿宋_GB2312" w:eastAsia="仿宋_GB2312"/>
          <w:sz w:val="32"/>
          <w:szCs w:val="32"/>
          <w:highlight w:val="none"/>
          <w:lang w:val="en-US" w:eastAsia="zh-CN"/>
        </w:rPr>
        <w:t>91.02</w:t>
      </w:r>
      <w:r>
        <w:rPr>
          <w:rFonts w:hint="eastAsia" w:ascii="仿宋_GB2312" w:eastAsia="仿宋_GB2312"/>
          <w:sz w:val="32"/>
          <w:szCs w:val="32"/>
          <w:highlight w:val="none"/>
        </w:rPr>
        <w:t>万元。</w:t>
      </w:r>
      <w:r>
        <w:rPr>
          <w:rFonts w:hint="eastAsia" w:eastAsia="仿宋_GB2312"/>
          <w:sz w:val="32"/>
          <w:szCs w:val="32"/>
          <w:highlight w:val="none"/>
        </w:rPr>
        <w:t>主要用于</w:t>
      </w:r>
      <w:r>
        <w:rPr>
          <w:rFonts w:hint="eastAsia" w:ascii="仿宋_GB2312" w:eastAsia="仿宋_GB2312"/>
          <w:sz w:val="32"/>
          <w:szCs w:val="32"/>
          <w:highlight w:val="none"/>
          <w:lang w:eastAsia="zh-CN"/>
        </w:rPr>
        <w:t>新增人员工资性支出及公用经费支出</w:t>
      </w:r>
      <w:r>
        <w:rPr>
          <w:rFonts w:hint="eastAsia" w:ascii="仿宋_GB2312" w:eastAsia="仿宋_GB2312"/>
          <w:sz w:val="32"/>
          <w:szCs w:val="32"/>
          <w:highlight w:val="none"/>
        </w:rPr>
        <w:t>。</w:t>
      </w:r>
    </w:p>
    <w:p w14:paraId="5F6BBBC0">
      <w:pPr>
        <w:adjustRightInd w:val="0"/>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w:t>
      </w:r>
      <w:r>
        <w:rPr>
          <w:rFonts w:hint="eastAsia" w:ascii="仿宋_GB2312" w:eastAsia="仿宋_GB2312"/>
          <w:b/>
          <w:sz w:val="32"/>
          <w:szCs w:val="32"/>
          <w:highlight w:val="none"/>
        </w:rPr>
        <w:t xml:space="preserve">社会保障和就业类 </w:t>
      </w:r>
      <w:r>
        <w:rPr>
          <w:rFonts w:hint="eastAsia" w:ascii="仿宋_GB2312" w:eastAsia="仿宋_GB2312"/>
          <w:sz w:val="32"/>
          <w:szCs w:val="32"/>
          <w:highlight w:val="none"/>
          <w:lang w:val="en-US" w:eastAsia="zh-CN"/>
        </w:rPr>
        <w:t>87.02</w:t>
      </w:r>
      <w:r>
        <w:rPr>
          <w:rFonts w:hint="eastAsia" w:ascii="仿宋_GB2312" w:eastAsia="仿宋_GB2312"/>
          <w:sz w:val="32"/>
          <w:szCs w:val="32"/>
          <w:highlight w:val="none"/>
        </w:rPr>
        <w:t xml:space="preserve">万元，比上年预算数增加  </w:t>
      </w:r>
      <w:r>
        <w:rPr>
          <w:rFonts w:hint="eastAsia" w:ascii="仿宋_GB2312" w:eastAsia="仿宋_GB2312"/>
          <w:sz w:val="32"/>
          <w:szCs w:val="32"/>
          <w:highlight w:val="none"/>
          <w:lang w:val="en-US" w:eastAsia="zh-CN"/>
        </w:rPr>
        <w:t>21.38</w:t>
      </w:r>
      <w:r>
        <w:rPr>
          <w:rFonts w:hint="eastAsia" w:ascii="仿宋_GB2312" w:eastAsia="仿宋_GB2312"/>
          <w:sz w:val="32"/>
          <w:szCs w:val="32"/>
          <w:highlight w:val="none"/>
        </w:rPr>
        <w:t>万元。</w:t>
      </w:r>
      <w:r>
        <w:rPr>
          <w:rFonts w:hint="eastAsia" w:eastAsia="仿宋_GB2312"/>
          <w:sz w:val="32"/>
          <w:szCs w:val="32"/>
          <w:highlight w:val="none"/>
        </w:rPr>
        <w:t>主要用于</w:t>
      </w:r>
      <w:r>
        <w:rPr>
          <w:rFonts w:hint="eastAsia" w:eastAsia="仿宋_GB2312"/>
          <w:sz w:val="32"/>
          <w:szCs w:val="32"/>
          <w:highlight w:val="none"/>
          <w:lang w:eastAsia="zh-CN"/>
        </w:rPr>
        <w:t>新增人员社保支出</w:t>
      </w:r>
      <w:r>
        <w:rPr>
          <w:rFonts w:hint="eastAsia" w:ascii="仿宋_GB2312" w:eastAsia="仿宋_GB2312"/>
          <w:sz w:val="32"/>
          <w:szCs w:val="32"/>
          <w:highlight w:val="none"/>
        </w:rPr>
        <w:t>。</w:t>
      </w:r>
    </w:p>
    <w:p w14:paraId="0CEB199D">
      <w:pPr>
        <w:adjustRightInd w:val="0"/>
        <w:snapToGrid w:val="0"/>
        <w:spacing w:line="500" w:lineRule="exact"/>
        <w:ind w:firstLine="643" w:firstLineChars="200"/>
        <w:rPr>
          <w:rFonts w:hint="default" w:ascii="仿宋_GB2312" w:eastAsia="仿宋_GB2312"/>
          <w:b/>
          <w:sz w:val="32"/>
          <w:szCs w:val="32"/>
          <w:highlight w:val="none"/>
          <w:lang w:val="en-US" w:eastAsia="zh-CN"/>
        </w:rPr>
      </w:pPr>
      <w:r>
        <w:rPr>
          <w:rFonts w:hint="eastAsia" w:ascii="仿宋_GB2312" w:eastAsia="仿宋_GB2312"/>
          <w:b/>
          <w:sz w:val="32"/>
          <w:szCs w:val="32"/>
          <w:highlight w:val="none"/>
        </w:rPr>
        <w:t>3</w:t>
      </w:r>
      <w:r>
        <w:rPr>
          <w:rFonts w:hint="eastAsia" w:ascii="仿宋_GB2312" w:eastAsia="仿宋_GB2312"/>
          <w:b/>
          <w:sz w:val="32"/>
          <w:szCs w:val="32"/>
          <w:highlight w:val="none"/>
          <w:lang w:eastAsia="zh-CN"/>
        </w:rPr>
        <w:t>、卫生健康类</w:t>
      </w:r>
      <w:r>
        <w:rPr>
          <w:rFonts w:hint="eastAsia" w:ascii="仿宋_GB2312" w:eastAsia="仿宋_GB2312"/>
          <w:b/>
          <w:sz w:val="32"/>
          <w:szCs w:val="32"/>
          <w:highlight w:val="none"/>
          <w:lang w:val="en-US" w:eastAsia="zh-CN"/>
        </w:rPr>
        <w:t xml:space="preserve">  </w:t>
      </w:r>
      <w:r>
        <w:rPr>
          <w:rFonts w:hint="eastAsia" w:ascii="仿宋_GB2312" w:eastAsia="仿宋_GB2312"/>
          <w:sz w:val="32"/>
          <w:szCs w:val="32"/>
          <w:highlight w:val="none"/>
          <w:lang w:val="en-US" w:eastAsia="zh-CN"/>
        </w:rPr>
        <w:t>0.33万元，比</w:t>
      </w:r>
      <w:r>
        <w:rPr>
          <w:rFonts w:hint="eastAsia" w:ascii="仿宋_GB2312" w:eastAsia="仿宋_GB2312"/>
          <w:sz w:val="32"/>
          <w:szCs w:val="32"/>
          <w:highlight w:val="none"/>
        </w:rPr>
        <w:t>上年预算数</w:t>
      </w:r>
      <w:r>
        <w:rPr>
          <w:rFonts w:hint="eastAsia" w:ascii="仿宋_GB2312" w:eastAsia="仿宋_GB2312"/>
          <w:sz w:val="32"/>
          <w:szCs w:val="32"/>
          <w:highlight w:val="none"/>
          <w:lang w:eastAsia="zh-CN"/>
        </w:rPr>
        <w:t>减少</w:t>
      </w:r>
      <w:r>
        <w:rPr>
          <w:rFonts w:hint="eastAsia" w:ascii="仿宋_GB2312" w:eastAsia="仿宋_GB2312"/>
          <w:sz w:val="32"/>
          <w:szCs w:val="32"/>
          <w:highlight w:val="none"/>
          <w:lang w:val="en-US" w:eastAsia="zh-CN"/>
        </w:rPr>
        <w:t>34.08万元，主要由于本年单独将大额医疗列支为卫生健康支出。</w:t>
      </w:r>
    </w:p>
    <w:p w14:paraId="31B0587E">
      <w:pPr>
        <w:adjustRightInd w:val="0"/>
        <w:snapToGrid w:val="0"/>
        <w:spacing w:line="500" w:lineRule="exact"/>
        <w:ind w:firstLine="643" w:firstLineChars="200"/>
        <w:rPr>
          <w:rFonts w:ascii="仿宋_GB2312" w:eastAsia="仿宋_GB2312"/>
          <w:sz w:val="32"/>
          <w:szCs w:val="32"/>
          <w:highlight w:val="none"/>
        </w:rPr>
      </w:pPr>
      <w:r>
        <w:rPr>
          <w:rFonts w:hint="eastAsia" w:ascii="仿宋_GB2312" w:eastAsia="仿宋_GB2312"/>
          <w:b/>
          <w:sz w:val="32"/>
          <w:szCs w:val="32"/>
          <w:highlight w:val="none"/>
          <w:lang w:val="en-US" w:eastAsia="zh-CN"/>
        </w:rPr>
        <w:t>4</w:t>
      </w:r>
      <w:r>
        <w:rPr>
          <w:rFonts w:hint="eastAsia" w:ascii="仿宋_GB2312" w:eastAsia="仿宋_GB2312"/>
          <w:b/>
          <w:sz w:val="32"/>
          <w:szCs w:val="32"/>
          <w:highlight w:val="none"/>
          <w:lang w:eastAsia="zh-CN"/>
        </w:rPr>
        <w:t>城市社区类</w:t>
      </w:r>
      <w:r>
        <w:rPr>
          <w:rFonts w:hint="eastAsia" w:ascii="仿宋_GB2312" w:eastAsia="仿宋_GB2312"/>
          <w:b/>
          <w:sz w:val="32"/>
          <w:szCs w:val="32"/>
          <w:highlight w:val="none"/>
          <w:lang w:val="en-US" w:eastAsia="zh-CN"/>
        </w:rPr>
        <w:t xml:space="preserve"> </w:t>
      </w:r>
      <w:r>
        <w:rPr>
          <w:rFonts w:hint="eastAsia" w:ascii="仿宋_GB2312" w:eastAsia="仿宋_GB2312"/>
          <w:sz w:val="32"/>
          <w:szCs w:val="32"/>
          <w:highlight w:val="none"/>
          <w:lang w:val="en-US" w:eastAsia="zh-CN"/>
        </w:rPr>
        <w:t>794</w:t>
      </w:r>
      <w:r>
        <w:rPr>
          <w:rFonts w:hint="eastAsia" w:eastAsia="仿宋_GB2312"/>
          <w:sz w:val="32"/>
          <w:szCs w:val="32"/>
          <w:highlight w:val="none"/>
          <w:lang w:eastAsia="zh-CN"/>
        </w:rPr>
        <w:t>万元，</w:t>
      </w:r>
      <w:r>
        <w:rPr>
          <w:rFonts w:hint="eastAsia" w:ascii="仿宋_GB2312" w:eastAsia="仿宋_GB2312"/>
          <w:sz w:val="32"/>
          <w:szCs w:val="32"/>
          <w:highlight w:val="none"/>
        </w:rPr>
        <w:t>比上年预算数增加</w:t>
      </w:r>
      <w:r>
        <w:rPr>
          <w:rFonts w:hint="eastAsia" w:ascii="仿宋_GB2312" w:eastAsia="仿宋_GB2312"/>
          <w:sz w:val="32"/>
          <w:szCs w:val="32"/>
          <w:highlight w:val="none"/>
          <w:lang w:val="en-US" w:eastAsia="zh-CN"/>
        </w:rPr>
        <w:t>163.77</w:t>
      </w:r>
      <w:r>
        <w:rPr>
          <w:rFonts w:hint="eastAsia" w:ascii="仿宋_GB2312" w:eastAsia="仿宋_GB2312"/>
          <w:sz w:val="32"/>
          <w:szCs w:val="32"/>
          <w:highlight w:val="none"/>
        </w:rPr>
        <w:t>万元。</w:t>
      </w:r>
      <w:r>
        <w:rPr>
          <w:rFonts w:hint="eastAsia" w:eastAsia="仿宋_GB2312"/>
          <w:sz w:val="32"/>
          <w:szCs w:val="32"/>
          <w:highlight w:val="none"/>
        </w:rPr>
        <w:t>主要用于</w:t>
      </w:r>
      <w:r>
        <w:rPr>
          <w:rFonts w:hint="eastAsia" w:ascii="仿宋_GB2312" w:eastAsia="仿宋_GB2312"/>
          <w:sz w:val="32"/>
          <w:szCs w:val="32"/>
          <w:highlight w:val="none"/>
          <w:lang w:eastAsia="zh-CN"/>
        </w:rPr>
        <w:t>城乡社区基础设施及环境卫生支出</w:t>
      </w:r>
      <w:r>
        <w:rPr>
          <w:rFonts w:hint="eastAsia" w:ascii="仿宋_GB2312" w:eastAsia="仿宋_GB2312"/>
          <w:sz w:val="32"/>
          <w:szCs w:val="32"/>
          <w:highlight w:val="none"/>
        </w:rPr>
        <w:t>。</w:t>
      </w:r>
    </w:p>
    <w:p w14:paraId="408E8327">
      <w:pPr>
        <w:adjustRightInd w:val="0"/>
        <w:snapToGrid w:val="0"/>
        <w:spacing w:line="500" w:lineRule="exact"/>
        <w:ind w:firstLine="643" w:firstLineChars="200"/>
        <w:rPr>
          <w:rFonts w:hint="eastAsia" w:ascii="仿宋_GB2312" w:eastAsia="仿宋_GB2312"/>
          <w:sz w:val="32"/>
          <w:szCs w:val="32"/>
          <w:highlight w:val="none"/>
          <w:lang w:val="en-US" w:eastAsia="zh-CN"/>
        </w:rPr>
      </w:pPr>
      <w:r>
        <w:rPr>
          <w:rFonts w:hint="eastAsia" w:ascii="仿宋_GB2312" w:eastAsia="仿宋_GB2312"/>
          <w:b/>
          <w:sz w:val="32"/>
          <w:szCs w:val="32"/>
          <w:highlight w:val="none"/>
          <w:lang w:val="en-US" w:eastAsia="zh-CN"/>
        </w:rPr>
        <w:t xml:space="preserve">5、农林水类 </w:t>
      </w:r>
      <w:r>
        <w:rPr>
          <w:rFonts w:hint="eastAsia" w:ascii="仿宋_GB2312" w:eastAsia="仿宋_GB2312"/>
          <w:sz w:val="32"/>
          <w:szCs w:val="32"/>
          <w:highlight w:val="none"/>
          <w:lang w:val="en-US" w:eastAsia="zh-CN"/>
        </w:rPr>
        <w:t>250.95万元，比上年预算数减少228.19万元。主要因村级项目减少。</w:t>
      </w:r>
    </w:p>
    <w:p w14:paraId="19849A94">
      <w:pPr>
        <w:adjustRightInd w:val="0"/>
        <w:snapToGrid w:val="0"/>
        <w:spacing w:line="500" w:lineRule="exact"/>
        <w:ind w:firstLine="643" w:firstLineChars="200"/>
        <w:rPr>
          <w:rFonts w:hint="eastAsia" w:ascii="仿宋_GB2312" w:eastAsia="仿宋_GB2312"/>
          <w:sz w:val="32"/>
          <w:szCs w:val="32"/>
          <w:highlight w:val="none"/>
          <w:lang w:val="en-US" w:eastAsia="zh-CN"/>
        </w:rPr>
      </w:pPr>
      <w:r>
        <w:rPr>
          <w:rFonts w:hint="eastAsia" w:ascii="仿宋_GB2312" w:eastAsia="仿宋_GB2312"/>
          <w:b/>
          <w:sz w:val="32"/>
          <w:szCs w:val="32"/>
          <w:highlight w:val="none"/>
          <w:lang w:val="en-US" w:eastAsia="zh-CN"/>
        </w:rPr>
        <w:t xml:space="preserve">6、住房保障类 </w:t>
      </w:r>
      <w:r>
        <w:rPr>
          <w:rFonts w:hint="eastAsia" w:ascii="仿宋_GB2312" w:eastAsia="仿宋_GB2312"/>
          <w:sz w:val="32"/>
          <w:szCs w:val="32"/>
          <w:highlight w:val="none"/>
          <w:lang w:val="en-US" w:eastAsia="zh-CN"/>
        </w:rPr>
        <w:t>63.25万元，比上年预算数增加15.67万元。主要由于新增人员及住房公积金基数上调。</w:t>
      </w:r>
    </w:p>
    <w:p w14:paraId="5B532689">
      <w:pPr>
        <w:adjustRightInd w:val="0"/>
        <w:snapToGrid w:val="0"/>
        <w:spacing w:line="50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三、政府性基金预算财政拨款支出情况说明</w:t>
      </w:r>
    </w:p>
    <w:p w14:paraId="45BD56E0">
      <w:pPr>
        <w:adjustRightInd w:val="0"/>
        <w:snapToGrid w:val="0"/>
        <w:spacing w:line="560" w:lineRule="exact"/>
        <w:ind w:firstLine="640" w:firstLineChars="200"/>
        <w:rPr>
          <w:rFonts w:hint="eastAsia" w:eastAsia="仿宋_GB2312"/>
          <w:sz w:val="32"/>
          <w:szCs w:val="32"/>
          <w:highlight w:val="none"/>
          <w:lang w:eastAsia="zh-CN"/>
        </w:rPr>
      </w:pPr>
      <w:r>
        <w:rPr>
          <w:rFonts w:hint="eastAsia" w:ascii="仿宋_GB2312" w:eastAsia="仿宋_GB2312"/>
          <w:sz w:val="32"/>
          <w:szCs w:val="32"/>
          <w:highlight w:val="none"/>
        </w:rPr>
        <w:t>政府性基金预算财政拨款</w:t>
      </w:r>
      <w:r>
        <w:rPr>
          <w:rFonts w:hint="eastAsia" w:ascii="仿宋_GB2312" w:eastAsia="仿宋_GB2312"/>
          <w:sz w:val="32"/>
          <w:szCs w:val="32"/>
          <w:highlight w:val="none"/>
          <w:lang w:val="en-US" w:eastAsia="zh-CN"/>
        </w:rPr>
        <w:t>18.18</w:t>
      </w:r>
      <w:r>
        <w:rPr>
          <w:rFonts w:hint="eastAsia" w:eastAsia="仿宋_GB2312"/>
          <w:sz w:val="32"/>
          <w:szCs w:val="32"/>
          <w:highlight w:val="none"/>
        </w:rPr>
        <w:t>万元，比上年预算数增加</w:t>
      </w:r>
      <w:r>
        <w:rPr>
          <w:rFonts w:hint="eastAsia" w:ascii="仿宋_GB2312" w:eastAsia="仿宋_GB2312"/>
          <w:sz w:val="32"/>
          <w:szCs w:val="32"/>
          <w:highlight w:val="none"/>
          <w:lang w:val="en-US" w:eastAsia="zh-CN"/>
        </w:rPr>
        <w:t>18.18</w:t>
      </w:r>
      <w:r>
        <w:rPr>
          <w:rFonts w:hint="eastAsia" w:eastAsia="仿宋_GB2312"/>
          <w:sz w:val="32"/>
          <w:szCs w:val="32"/>
          <w:highlight w:val="none"/>
        </w:rPr>
        <w:t>万元，</w:t>
      </w:r>
      <w:r>
        <w:rPr>
          <w:rFonts w:hint="eastAsia" w:ascii="仿宋_GB2312" w:eastAsia="仿宋_GB2312"/>
          <w:sz w:val="32"/>
          <w:szCs w:val="32"/>
          <w:highlight w:val="none"/>
          <w:lang w:eastAsia="zh-CN"/>
        </w:rPr>
        <w:t>为新增安排。</w:t>
      </w:r>
    </w:p>
    <w:p w14:paraId="501E887B">
      <w:pPr>
        <w:adjustRightInd w:val="0"/>
        <w:snapToGrid w:val="0"/>
        <w:spacing w:line="50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四、国有资本经营</w:t>
      </w:r>
      <w:r>
        <w:rPr>
          <w:rFonts w:ascii="黑体" w:hAnsi="黑体" w:eastAsia="黑体"/>
          <w:color w:val="000000"/>
          <w:sz w:val="32"/>
          <w:szCs w:val="32"/>
          <w:highlight w:val="none"/>
        </w:rPr>
        <w:t>预算</w:t>
      </w:r>
      <w:r>
        <w:rPr>
          <w:rFonts w:hint="eastAsia" w:ascii="黑体" w:hAnsi="黑体" w:eastAsia="黑体"/>
          <w:color w:val="000000"/>
          <w:sz w:val="32"/>
          <w:szCs w:val="32"/>
          <w:highlight w:val="none"/>
        </w:rPr>
        <w:t>财政拨款支出情况说明</w:t>
      </w:r>
    </w:p>
    <w:p w14:paraId="64E6FB40">
      <w:pPr>
        <w:adjustRightInd w:val="0"/>
        <w:snapToGrid w:val="0"/>
        <w:spacing w:line="560" w:lineRule="exact"/>
        <w:ind w:firstLine="640" w:firstLineChars="200"/>
        <w:rPr>
          <w:rFonts w:hint="eastAsia" w:eastAsia="仿宋_GB2312"/>
          <w:sz w:val="32"/>
          <w:szCs w:val="32"/>
          <w:highlight w:val="none"/>
          <w:lang w:eastAsia="zh-CN"/>
        </w:rPr>
      </w:pPr>
      <w:r>
        <w:rPr>
          <w:rFonts w:hint="eastAsia" w:ascii="仿宋_GB2312" w:eastAsia="仿宋_GB2312"/>
          <w:sz w:val="32"/>
          <w:szCs w:val="32"/>
          <w:highlight w:val="none"/>
        </w:rPr>
        <w:t>国有资本</w:t>
      </w:r>
      <w:r>
        <w:rPr>
          <w:rFonts w:ascii="仿宋_GB2312" w:eastAsia="仿宋_GB2312"/>
          <w:sz w:val="32"/>
          <w:szCs w:val="32"/>
          <w:highlight w:val="none"/>
        </w:rPr>
        <w:t>经营</w:t>
      </w:r>
      <w:r>
        <w:rPr>
          <w:rFonts w:hint="eastAsia" w:ascii="仿宋_GB2312" w:eastAsia="仿宋_GB2312"/>
          <w:sz w:val="32"/>
          <w:szCs w:val="32"/>
          <w:highlight w:val="none"/>
        </w:rPr>
        <w:t>预算财政拨款</w:t>
      </w:r>
      <w:r>
        <w:rPr>
          <w:rFonts w:hint="eastAsia" w:ascii="仿宋_GB2312" w:eastAsia="仿宋_GB2312"/>
          <w:sz w:val="32"/>
          <w:szCs w:val="32"/>
          <w:highlight w:val="none"/>
          <w:lang w:val="en-US" w:eastAsia="zh-CN"/>
        </w:rPr>
        <w:t>12.03</w:t>
      </w:r>
      <w:r>
        <w:rPr>
          <w:rFonts w:hint="eastAsia" w:eastAsia="仿宋_GB2312"/>
          <w:sz w:val="32"/>
          <w:szCs w:val="32"/>
          <w:highlight w:val="none"/>
        </w:rPr>
        <w:t>万元，比上年预算数增加</w:t>
      </w:r>
      <w:r>
        <w:rPr>
          <w:rFonts w:hint="eastAsia" w:ascii="仿宋_GB2312" w:eastAsia="仿宋_GB2312"/>
          <w:sz w:val="32"/>
          <w:szCs w:val="32"/>
          <w:highlight w:val="none"/>
        </w:rPr>
        <w:t xml:space="preserve"> </w:t>
      </w:r>
      <w:r>
        <w:rPr>
          <w:rFonts w:hint="eastAsia" w:ascii="仿宋_GB2312" w:eastAsia="仿宋_GB2312"/>
          <w:sz w:val="32"/>
          <w:szCs w:val="32"/>
          <w:highlight w:val="none"/>
          <w:lang w:val="en-US" w:eastAsia="zh-CN"/>
        </w:rPr>
        <w:t>8.31</w:t>
      </w:r>
      <w:r>
        <w:rPr>
          <w:rFonts w:hint="eastAsia" w:eastAsia="仿宋_GB2312"/>
          <w:sz w:val="32"/>
          <w:szCs w:val="32"/>
          <w:highlight w:val="none"/>
        </w:rPr>
        <w:t>万元，</w:t>
      </w:r>
      <w:r>
        <w:rPr>
          <w:rFonts w:hint="eastAsia" w:ascii="仿宋_GB2312" w:eastAsia="仿宋_GB2312"/>
          <w:sz w:val="32"/>
          <w:szCs w:val="32"/>
          <w:highlight w:val="none"/>
        </w:rPr>
        <w:t>增长</w:t>
      </w:r>
      <w:r>
        <w:rPr>
          <w:rFonts w:hint="eastAsia" w:ascii="仿宋_GB2312" w:eastAsia="仿宋_GB2312"/>
          <w:sz w:val="32"/>
          <w:szCs w:val="32"/>
          <w:highlight w:val="none"/>
          <w:lang w:val="en-US" w:eastAsia="zh-CN"/>
        </w:rPr>
        <w:t>223.39</w:t>
      </w:r>
      <w:r>
        <w:rPr>
          <w:rFonts w:hint="eastAsia" w:ascii="仿宋_GB2312" w:eastAsia="仿宋_GB2312"/>
          <w:sz w:val="32"/>
          <w:szCs w:val="32"/>
          <w:highlight w:val="none"/>
        </w:rPr>
        <w:t>%。</w:t>
      </w:r>
      <w:r>
        <w:rPr>
          <w:rFonts w:hint="eastAsia" w:eastAsia="仿宋_GB2312"/>
          <w:sz w:val="32"/>
          <w:szCs w:val="32"/>
          <w:highlight w:val="none"/>
        </w:rPr>
        <w:t>主要用于</w:t>
      </w:r>
      <w:r>
        <w:rPr>
          <w:rFonts w:hint="eastAsia" w:eastAsia="仿宋_GB2312"/>
          <w:sz w:val="32"/>
          <w:szCs w:val="32"/>
          <w:highlight w:val="none"/>
          <w:lang w:eastAsia="zh-CN"/>
        </w:rPr>
        <w:t>国有企业退休人员社会化管理补助资金。</w:t>
      </w:r>
    </w:p>
    <w:p w14:paraId="30E3793B">
      <w:pPr>
        <w:adjustRightInd w:val="0"/>
        <w:snapToGrid w:val="0"/>
        <w:spacing w:line="500" w:lineRule="exact"/>
        <w:ind w:firstLine="640" w:firstLineChars="200"/>
        <w:rPr>
          <w:rFonts w:eastAsia="仿宋_GB2312"/>
          <w:sz w:val="32"/>
          <w:szCs w:val="32"/>
          <w:highlight w:val="none"/>
        </w:rPr>
      </w:pPr>
      <w:r>
        <w:rPr>
          <w:rFonts w:hint="eastAsia" w:ascii="黑体" w:hAnsi="黑体" w:eastAsia="黑体"/>
          <w:color w:val="000000"/>
          <w:sz w:val="32"/>
          <w:szCs w:val="32"/>
          <w:highlight w:val="none"/>
        </w:rPr>
        <w:t>五、财政拨款“三公”经费预算情况说明</w:t>
      </w:r>
    </w:p>
    <w:p w14:paraId="574DFB56">
      <w:pPr>
        <w:adjustRightInd w:val="0"/>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财政拨款“三公”经费支出预算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万元，比上年预算增加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%；本年预算比上年执行数增加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%。其中：</w:t>
      </w:r>
    </w:p>
    <w:p w14:paraId="52316DEA">
      <w:pPr>
        <w:adjustRightInd w:val="0"/>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 xml:space="preserve">1、因公出国（境）费用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万元，比上年预算数增加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%，本年预算比上年执行数增加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%。增加主要是由于</w:t>
      </w:r>
      <w:r>
        <w:rPr>
          <w:rFonts w:hint="eastAsia" w:ascii="仿宋_GB2312" w:eastAsia="仿宋_GB2312"/>
          <w:sz w:val="32"/>
          <w:szCs w:val="32"/>
          <w:highlight w:val="none"/>
          <w:lang w:eastAsia="zh-CN"/>
        </w:rPr>
        <w:t>：我单位无此项预算</w:t>
      </w:r>
      <w:r>
        <w:rPr>
          <w:rFonts w:hint="eastAsia" w:ascii="仿宋_GB2312" w:eastAsia="仿宋_GB2312"/>
          <w:sz w:val="32"/>
          <w:szCs w:val="32"/>
          <w:highlight w:val="none"/>
        </w:rPr>
        <w:t>。</w:t>
      </w:r>
    </w:p>
    <w:p w14:paraId="00727BD6">
      <w:pPr>
        <w:adjustRightInd w:val="0"/>
        <w:snapToGrid w:val="0"/>
        <w:spacing w:line="500" w:lineRule="exact"/>
        <w:ind w:firstLine="640" w:firstLineChars="200"/>
        <w:rPr>
          <w:rFonts w:hint="eastAsia" w:ascii="仿宋_GB2312" w:eastAsia="仿宋_GB2312"/>
          <w:sz w:val="32"/>
          <w:szCs w:val="32"/>
          <w:highlight w:val="none"/>
          <w:lang w:eastAsia="zh-CN"/>
        </w:rPr>
      </w:pPr>
      <w:r>
        <w:rPr>
          <w:rFonts w:hint="eastAsia" w:ascii="仿宋_GB2312" w:eastAsia="仿宋_GB2312"/>
          <w:sz w:val="32"/>
          <w:szCs w:val="32"/>
          <w:highlight w:val="none"/>
        </w:rPr>
        <w:t xml:space="preserve">2、公务接待费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万元，比上年预算数减少</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万元，下降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%，本年预算比上年执行数增加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增加主要是由于</w:t>
      </w:r>
      <w:r>
        <w:rPr>
          <w:rFonts w:hint="eastAsia" w:ascii="仿宋_GB2312" w:eastAsia="仿宋_GB2312"/>
          <w:sz w:val="32"/>
          <w:szCs w:val="32"/>
          <w:highlight w:val="none"/>
          <w:lang w:eastAsia="zh-CN"/>
        </w:rPr>
        <w:t>我单位无此项预算</w:t>
      </w:r>
      <w:r>
        <w:rPr>
          <w:rFonts w:hint="eastAsia" w:ascii="仿宋_GB2312" w:eastAsia="仿宋_GB2312"/>
          <w:sz w:val="32"/>
          <w:szCs w:val="32"/>
          <w:highlight w:val="none"/>
        </w:rPr>
        <w:t>。</w:t>
      </w:r>
    </w:p>
    <w:p w14:paraId="28830F92">
      <w:pPr>
        <w:adjustRightInd w:val="0"/>
        <w:snapToGrid w:val="0"/>
        <w:spacing w:line="500" w:lineRule="exact"/>
        <w:ind w:left="167" w:leftChars="76" w:firstLine="480" w:firstLineChars="150"/>
        <w:rPr>
          <w:rFonts w:hint="eastAsia" w:ascii="仿宋_GB2312" w:eastAsia="仿宋_GB2312"/>
          <w:color w:val="FF0000"/>
          <w:sz w:val="32"/>
          <w:szCs w:val="32"/>
          <w:highlight w:val="none"/>
          <w:lang w:eastAsia="zh-CN"/>
        </w:rPr>
      </w:pPr>
      <w:r>
        <w:rPr>
          <w:rFonts w:hint="eastAsia" w:ascii="仿宋_GB2312" w:eastAsia="仿宋_GB2312"/>
          <w:sz w:val="32"/>
          <w:szCs w:val="32"/>
          <w:highlight w:val="none"/>
        </w:rPr>
        <w:t xml:space="preserve">3、公务用车购置及运行维护费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万元，比上年预算增加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%，本年预算比上年执行数增加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万元，增长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%。其中，公务用车购置</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万元，比上年预算增加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%，本年预算比上年执行数增加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%；公务用车运行维护费 </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万元，本年预算比上年预算增加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%，比上年执行数增加</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 xml:space="preserve"> %。增加主要是由于</w:t>
      </w:r>
      <w:r>
        <w:rPr>
          <w:rFonts w:hint="eastAsia" w:ascii="仿宋_GB2312" w:eastAsia="仿宋_GB2312"/>
          <w:sz w:val="32"/>
          <w:szCs w:val="32"/>
          <w:highlight w:val="none"/>
          <w:lang w:eastAsia="zh-CN"/>
        </w:rPr>
        <w:t>我单位无此项预算</w:t>
      </w:r>
      <w:r>
        <w:rPr>
          <w:rFonts w:hint="eastAsia" w:ascii="仿宋_GB2312" w:eastAsia="仿宋_GB2312"/>
          <w:sz w:val="32"/>
          <w:szCs w:val="32"/>
          <w:highlight w:val="none"/>
        </w:rPr>
        <w:t>。</w:t>
      </w:r>
    </w:p>
    <w:p w14:paraId="471C30B8">
      <w:pPr>
        <w:adjustRightInd w:val="0"/>
        <w:snapToGrid w:val="0"/>
        <w:spacing w:line="500" w:lineRule="exact"/>
        <w:ind w:left="167" w:leftChars="76" w:firstLine="480" w:firstLineChars="150"/>
        <w:rPr>
          <w:rFonts w:hint="eastAsia" w:ascii="仿宋_GB2312" w:eastAsia="仿宋_GB2312"/>
          <w:color w:val="FF0000"/>
          <w:sz w:val="32"/>
          <w:szCs w:val="32"/>
          <w:highlight w:val="none"/>
          <w:lang w:eastAsia="zh-CN"/>
        </w:rPr>
      </w:pPr>
    </w:p>
    <w:p w14:paraId="4A1A8739">
      <w:pPr>
        <w:adjustRightInd w:val="0"/>
        <w:snapToGrid w:val="0"/>
        <w:spacing w:line="500" w:lineRule="exact"/>
        <w:jc w:val="center"/>
        <w:rPr>
          <w:rFonts w:ascii="楷体_GB2312" w:hAnsi="黑体" w:eastAsia="楷体_GB2312"/>
          <w:b/>
          <w:color w:val="000000"/>
          <w:sz w:val="36"/>
          <w:szCs w:val="36"/>
          <w:highlight w:val="none"/>
        </w:rPr>
      </w:pPr>
      <w:r>
        <w:rPr>
          <w:rFonts w:hint="eastAsia" w:ascii="楷体_GB2312" w:hAnsi="黑体" w:eastAsia="楷体_GB2312"/>
          <w:b/>
          <w:color w:val="000000"/>
          <w:sz w:val="36"/>
          <w:szCs w:val="36"/>
          <w:highlight w:val="none"/>
        </w:rPr>
        <w:t>第三部分  其他公开事项说明</w:t>
      </w:r>
    </w:p>
    <w:p w14:paraId="086FF9AD">
      <w:pPr>
        <w:adjustRightInd w:val="0"/>
        <w:snapToGrid w:val="0"/>
        <w:spacing w:line="50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一、机关运行经费安排情况说明</w:t>
      </w:r>
    </w:p>
    <w:p w14:paraId="4238AD58">
      <w:pPr>
        <w:snapToGrid w:val="0"/>
        <w:spacing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机关运行经费，是指各部门及所属单位的公用经费，包括办公及印刷费、邮电费、差旅费、会议费、福利费、日常维修费、专业材料及一般设备购置费、办公用房水电费、办公用房取暖费、办公用房物业管理费、公务用车运行维护费以及其他费用。</w:t>
      </w:r>
    </w:p>
    <w:p w14:paraId="226A125D">
      <w:pPr>
        <w:snapToGrid w:val="0"/>
        <w:spacing w:line="500" w:lineRule="exact"/>
        <w:ind w:firstLine="640" w:firstLineChars="200"/>
        <w:rPr>
          <w:rFonts w:hint="default" w:ascii="仿宋_GB2312" w:eastAsia="仿宋_GB2312"/>
          <w:color w:val="000000"/>
          <w:sz w:val="32"/>
          <w:szCs w:val="32"/>
          <w:highlight w:val="none"/>
          <w:lang w:val="en-US"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年，我单位机关运行</w:t>
      </w:r>
      <w:r>
        <w:rPr>
          <w:rFonts w:hint="eastAsia" w:ascii="仿宋_GB2312" w:eastAsia="仿宋_GB2312"/>
          <w:color w:val="000000"/>
          <w:sz w:val="32"/>
          <w:szCs w:val="32"/>
          <w:highlight w:val="none"/>
        </w:rPr>
        <w:t>经费财政拨款</w:t>
      </w:r>
      <w:r>
        <w:rPr>
          <w:rFonts w:hint="eastAsia" w:ascii="仿宋_GB2312" w:eastAsia="仿宋_GB2312"/>
          <w:sz w:val="32"/>
          <w:szCs w:val="32"/>
          <w:highlight w:val="none"/>
        </w:rPr>
        <w:t>预算</w:t>
      </w:r>
      <w:r>
        <w:rPr>
          <w:rFonts w:hint="eastAsia" w:ascii="仿宋_GB2312" w:eastAsia="仿宋_GB2312"/>
          <w:sz w:val="32"/>
          <w:szCs w:val="32"/>
          <w:highlight w:val="none"/>
          <w:lang w:val="en-US" w:eastAsia="zh-CN"/>
        </w:rPr>
        <w:t>90.96</w:t>
      </w:r>
      <w:r>
        <w:rPr>
          <w:rFonts w:hint="eastAsia" w:ascii="仿宋_GB2312" w:eastAsia="仿宋_GB2312"/>
          <w:color w:val="000000"/>
          <w:sz w:val="32"/>
          <w:szCs w:val="32"/>
          <w:highlight w:val="none"/>
        </w:rPr>
        <w:t>万元，比上年</w:t>
      </w:r>
      <w:r>
        <w:rPr>
          <w:rFonts w:hint="eastAsia" w:ascii="仿宋_GB2312" w:eastAsia="仿宋_GB2312"/>
          <w:sz w:val="32"/>
          <w:szCs w:val="32"/>
          <w:highlight w:val="none"/>
        </w:rPr>
        <w:t>增加</w:t>
      </w:r>
      <w:r>
        <w:rPr>
          <w:rFonts w:hint="eastAsia" w:ascii="仿宋_GB2312" w:eastAsia="仿宋_GB2312"/>
          <w:sz w:val="32"/>
          <w:szCs w:val="32"/>
          <w:highlight w:val="none"/>
          <w:lang w:val="en-US" w:eastAsia="zh-CN"/>
        </w:rPr>
        <w:t>5.4</w:t>
      </w:r>
      <w:r>
        <w:rPr>
          <w:rFonts w:hint="eastAsia" w:ascii="仿宋_GB2312" w:eastAsia="仿宋_GB2312"/>
          <w:color w:val="000000"/>
          <w:sz w:val="32"/>
          <w:szCs w:val="32"/>
          <w:highlight w:val="none"/>
        </w:rPr>
        <w:t>万元，</w:t>
      </w:r>
      <w:r>
        <w:rPr>
          <w:rFonts w:hint="eastAsia" w:ascii="仿宋_GB2312" w:eastAsia="仿宋_GB2312"/>
          <w:sz w:val="32"/>
          <w:szCs w:val="32"/>
          <w:highlight w:val="none"/>
        </w:rPr>
        <w:t>增长</w:t>
      </w:r>
      <w:r>
        <w:rPr>
          <w:rFonts w:hint="eastAsia" w:ascii="仿宋_GB2312" w:eastAsia="仿宋_GB2312"/>
          <w:sz w:val="32"/>
          <w:szCs w:val="32"/>
          <w:highlight w:val="none"/>
          <w:lang w:val="en-US" w:eastAsia="zh-CN"/>
        </w:rPr>
        <w:t>6.22</w:t>
      </w:r>
      <w:r>
        <w:rPr>
          <w:rFonts w:hint="eastAsia" w:ascii="仿宋_GB2312" w:eastAsia="仿宋_GB2312"/>
          <w:sz w:val="32"/>
          <w:szCs w:val="32"/>
          <w:highlight w:val="none"/>
        </w:rPr>
        <w:t>%</w:t>
      </w:r>
      <w:r>
        <w:rPr>
          <w:rFonts w:hint="eastAsia" w:ascii="仿宋_GB2312" w:eastAsia="仿宋_GB2312"/>
          <w:color w:val="000000"/>
          <w:sz w:val="32"/>
          <w:szCs w:val="32"/>
          <w:highlight w:val="none"/>
        </w:rPr>
        <w:t>。</w:t>
      </w:r>
      <w:r>
        <w:rPr>
          <w:rFonts w:hint="eastAsia" w:ascii="仿宋_GB2312" w:eastAsia="仿宋_GB2312"/>
          <w:sz w:val="32"/>
          <w:szCs w:val="32"/>
          <w:highlight w:val="none"/>
        </w:rPr>
        <w:t>主要原因是</w:t>
      </w:r>
      <w:r>
        <w:rPr>
          <w:rFonts w:hint="eastAsia" w:ascii="仿宋_GB2312" w:eastAsia="仿宋_GB2312"/>
          <w:sz w:val="32"/>
          <w:szCs w:val="32"/>
          <w:highlight w:val="none"/>
          <w:lang w:eastAsia="zh-CN"/>
        </w:rPr>
        <w:t>新增人员导致机关运行经费增加</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 xml:space="preserve">年机关运行经费包括：办公费  </w:t>
      </w:r>
      <w:r>
        <w:rPr>
          <w:rFonts w:hint="eastAsia" w:ascii="仿宋_GB2312" w:eastAsia="仿宋_GB2312"/>
          <w:sz w:val="32"/>
          <w:szCs w:val="32"/>
          <w:highlight w:val="none"/>
          <w:lang w:val="en-US" w:eastAsia="zh-CN"/>
        </w:rPr>
        <w:t>33</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color w:val="000000"/>
          <w:sz w:val="32"/>
          <w:szCs w:val="32"/>
          <w:highlight w:val="none"/>
          <w:lang w:eastAsia="zh-CN"/>
        </w:rPr>
        <w:t>印刷费</w:t>
      </w:r>
      <w:r>
        <w:rPr>
          <w:rFonts w:hint="eastAsia" w:ascii="仿宋_GB2312" w:eastAsia="仿宋_GB2312"/>
          <w:color w:val="000000"/>
          <w:sz w:val="32"/>
          <w:szCs w:val="32"/>
          <w:highlight w:val="none"/>
          <w:lang w:val="en-US" w:eastAsia="zh-CN"/>
        </w:rPr>
        <w:t>2万元、水费1万元、电费4万元、取暖费9万元、差旅费3万元、维修（护）费2万元、培训费2万元、劳务费20万元、委托业务费2万元、其他交通费用12.96万元，其他商品和服务支出1.26万元、对个人和家庭补助0.27万元。</w:t>
      </w:r>
    </w:p>
    <w:p w14:paraId="5F8E98A4">
      <w:pPr>
        <w:snapToGrid w:val="0"/>
        <w:spacing w:line="50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二、政府采购预算情况说明</w:t>
      </w:r>
    </w:p>
    <w:p w14:paraId="4819228D">
      <w:pPr>
        <w:snapToGrid w:val="0"/>
        <w:spacing w:line="50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 xml:space="preserve">政府采购预算总额 </w:t>
      </w:r>
      <w:r>
        <w:rPr>
          <w:rFonts w:hint="eastAsia" w:ascii="仿宋_GB2312" w:eastAsia="仿宋_GB2312"/>
          <w:sz w:val="32"/>
          <w:szCs w:val="32"/>
          <w:highlight w:val="none"/>
          <w:lang w:val="en-US" w:eastAsia="zh-CN"/>
        </w:rPr>
        <w:t>149.46</w:t>
      </w:r>
      <w:r>
        <w:rPr>
          <w:rFonts w:hint="eastAsia" w:ascii="仿宋_GB2312" w:eastAsia="仿宋_GB2312"/>
          <w:sz w:val="32"/>
          <w:szCs w:val="32"/>
          <w:highlight w:val="none"/>
        </w:rPr>
        <w:t>万元，其中：政府采购货物预算</w:t>
      </w:r>
      <w:r>
        <w:rPr>
          <w:rFonts w:hint="eastAsia" w:ascii="仿宋_GB2312" w:eastAsia="仿宋_GB2312"/>
          <w:sz w:val="32"/>
          <w:szCs w:val="32"/>
          <w:highlight w:val="none"/>
          <w:lang w:val="en-US" w:eastAsia="zh-CN"/>
        </w:rPr>
        <w:t>20</w:t>
      </w:r>
      <w:r>
        <w:rPr>
          <w:rFonts w:hint="eastAsia" w:ascii="仿宋_GB2312" w:eastAsia="仿宋_GB2312"/>
          <w:sz w:val="32"/>
          <w:szCs w:val="32"/>
          <w:highlight w:val="none"/>
        </w:rPr>
        <w:t>万元，政府采购工程预算</w:t>
      </w:r>
      <w:r>
        <w:rPr>
          <w:rFonts w:hint="eastAsia" w:ascii="仿宋_GB2312" w:eastAsia="仿宋_GB2312"/>
          <w:sz w:val="32"/>
          <w:szCs w:val="32"/>
          <w:highlight w:val="none"/>
          <w:lang w:val="en-US" w:eastAsia="zh-CN"/>
        </w:rPr>
        <w:t xml:space="preserve"> 129.46 </w:t>
      </w:r>
      <w:r>
        <w:rPr>
          <w:rFonts w:hint="eastAsia" w:ascii="仿宋_GB2312" w:eastAsia="仿宋_GB2312"/>
          <w:sz w:val="32"/>
          <w:szCs w:val="32"/>
          <w:highlight w:val="none"/>
        </w:rPr>
        <w:t>万元，政府采购服务预算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p>
    <w:p w14:paraId="2944277C">
      <w:pPr>
        <w:snapToGrid w:val="0"/>
        <w:spacing w:line="500" w:lineRule="exact"/>
        <w:ind w:firstLine="640" w:firstLineChars="200"/>
        <w:rPr>
          <w:rFonts w:eastAsia="仿宋_GB2312"/>
          <w:color w:val="000000"/>
          <w:sz w:val="32"/>
          <w:szCs w:val="32"/>
          <w:highlight w:val="none"/>
        </w:rPr>
      </w:pPr>
      <w:r>
        <w:rPr>
          <w:rFonts w:hint="eastAsia" w:ascii="黑体" w:hAnsi="黑体" w:eastAsia="黑体"/>
          <w:color w:val="000000"/>
          <w:sz w:val="32"/>
          <w:szCs w:val="32"/>
          <w:highlight w:val="none"/>
        </w:rPr>
        <w:t>三、国有资产占有使用情况说明</w:t>
      </w:r>
    </w:p>
    <w:p w14:paraId="31DE9957">
      <w:pPr>
        <w:snapToGrid w:val="0"/>
        <w:spacing w:line="560" w:lineRule="exact"/>
        <w:ind w:firstLine="640"/>
        <w:rPr>
          <w:rFonts w:hint="eastAsia" w:ascii="仿宋_GB2312" w:hAnsi="黑体" w:eastAsia="仿宋_GB2312"/>
          <w:color w:val="FF0000"/>
          <w:sz w:val="32"/>
          <w:szCs w:val="32"/>
          <w:highlight w:val="none"/>
          <w:lang w:eastAsia="zh-CN"/>
        </w:rPr>
      </w:pPr>
      <w:r>
        <w:rPr>
          <w:rFonts w:hint="eastAsia" w:ascii="仿宋_GB2312" w:hAnsi="宋体" w:eastAsia="仿宋_GB2312"/>
          <w:bCs/>
          <w:sz w:val="32"/>
          <w:szCs w:val="32"/>
          <w:highlight w:val="none"/>
        </w:rPr>
        <w:t>截至</w:t>
      </w:r>
      <w:r>
        <w:rPr>
          <w:rFonts w:hint="eastAsia" w:ascii="仿宋_GB2312" w:hAnsi="宋体" w:eastAsia="仿宋_GB2312"/>
          <w:bCs/>
          <w:sz w:val="32"/>
          <w:szCs w:val="32"/>
          <w:highlight w:val="none"/>
          <w:lang w:eastAsia="zh-CN"/>
        </w:rPr>
        <w:t>202</w:t>
      </w:r>
      <w:r>
        <w:rPr>
          <w:rFonts w:hint="eastAsia" w:ascii="仿宋_GB2312" w:hAnsi="宋体" w:eastAsia="仿宋_GB2312"/>
          <w:bCs/>
          <w:sz w:val="32"/>
          <w:szCs w:val="32"/>
          <w:highlight w:val="none"/>
          <w:lang w:val="en-US" w:eastAsia="zh-CN"/>
        </w:rPr>
        <w:t>5</w:t>
      </w:r>
      <w:r>
        <w:rPr>
          <w:rFonts w:hint="eastAsia" w:ascii="仿宋_GB2312" w:hAnsi="宋体" w:eastAsia="仿宋_GB2312"/>
          <w:bCs/>
          <w:sz w:val="32"/>
          <w:szCs w:val="32"/>
          <w:highlight w:val="none"/>
        </w:rPr>
        <w:t>年末，</w:t>
      </w:r>
      <w:r>
        <w:rPr>
          <w:rFonts w:hint="eastAsia" w:ascii="仿宋_GB2312" w:hAnsi="宋体" w:eastAsia="仿宋_GB2312"/>
          <w:bCs/>
          <w:sz w:val="32"/>
          <w:szCs w:val="32"/>
          <w:highlight w:val="none"/>
          <w:lang w:eastAsia="zh-CN"/>
        </w:rPr>
        <w:t>河西街道办事处</w:t>
      </w:r>
      <w:r>
        <w:rPr>
          <w:rFonts w:hint="eastAsia" w:ascii="仿宋_GB2312" w:hAnsi="宋体" w:eastAsia="仿宋_GB2312"/>
          <w:bCs/>
          <w:sz w:val="32"/>
          <w:szCs w:val="32"/>
          <w:highlight w:val="none"/>
        </w:rPr>
        <w:t>部门固定资</w:t>
      </w:r>
      <w:r>
        <w:rPr>
          <w:rFonts w:hint="eastAsia" w:ascii="仿宋_GB2312" w:hAnsi="宋体" w:eastAsia="仿宋_GB2312"/>
          <w:bCs/>
          <w:sz w:val="32"/>
          <w:szCs w:val="32"/>
          <w:highlight w:val="none"/>
          <w:lang w:eastAsia="zh-CN"/>
        </w:rPr>
        <w:t>产</w:t>
      </w:r>
      <w:r>
        <w:rPr>
          <w:rFonts w:hint="eastAsia" w:ascii="仿宋_GB2312" w:hAnsi="宋体" w:eastAsia="仿宋_GB2312"/>
          <w:bCs/>
          <w:sz w:val="32"/>
          <w:szCs w:val="32"/>
          <w:highlight w:val="none"/>
          <w:lang w:val="en-US" w:eastAsia="zh-CN"/>
        </w:rPr>
        <w:t>1884.59</w:t>
      </w:r>
      <w:r>
        <w:rPr>
          <w:rFonts w:hint="eastAsia" w:ascii="仿宋_GB2312" w:hAnsi="宋体" w:eastAsia="仿宋_GB2312"/>
          <w:bCs/>
          <w:sz w:val="32"/>
          <w:szCs w:val="32"/>
          <w:highlight w:val="none"/>
        </w:rPr>
        <w:t>万元，无形资产</w:t>
      </w:r>
      <w:r>
        <w:rPr>
          <w:rFonts w:hint="eastAsia" w:ascii="仿宋_GB2312" w:hAnsi="宋体" w:eastAsia="仿宋_GB2312"/>
          <w:bCs/>
          <w:sz w:val="32"/>
          <w:szCs w:val="32"/>
          <w:highlight w:val="none"/>
          <w:lang w:val="en-US" w:eastAsia="zh-CN"/>
        </w:rPr>
        <w:t>0</w:t>
      </w:r>
      <w:r>
        <w:rPr>
          <w:rFonts w:hint="eastAsia" w:ascii="仿宋_GB2312" w:hAnsi="宋体" w:eastAsia="仿宋_GB2312"/>
          <w:bCs/>
          <w:sz w:val="32"/>
          <w:szCs w:val="32"/>
          <w:highlight w:val="none"/>
        </w:rPr>
        <w:t>万元。</w:t>
      </w:r>
      <w:r>
        <w:rPr>
          <w:rFonts w:hint="eastAsia" w:ascii="仿宋_GB2312" w:eastAsia="仿宋_GB2312"/>
          <w:sz w:val="32"/>
          <w:highlight w:val="none"/>
          <w:lang w:eastAsia="zh-CN"/>
        </w:rPr>
        <w:t>202</w:t>
      </w:r>
      <w:r>
        <w:rPr>
          <w:rFonts w:hint="eastAsia" w:ascii="仿宋_GB2312" w:eastAsia="仿宋_GB2312"/>
          <w:sz w:val="32"/>
          <w:highlight w:val="none"/>
          <w:lang w:val="en-US" w:eastAsia="zh-CN"/>
        </w:rPr>
        <w:t>6</w:t>
      </w:r>
      <w:r>
        <w:rPr>
          <w:rFonts w:hint="eastAsia" w:ascii="仿宋_GB2312" w:eastAsia="仿宋_GB2312"/>
          <w:sz w:val="32"/>
          <w:highlight w:val="none"/>
        </w:rPr>
        <w:t>年</w:t>
      </w:r>
      <w:r>
        <w:rPr>
          <w:rFonts w:hint="eastAsia" w:ascii="仿宋_GB2312" w:eastAsia="仿宋_GB2312"/>
          <w:sz w:val="32"/>
          <w:highlight w:val="none"/>
          <w:lang w:val="en-US" w:eastAsia="zh-CN"/>
        </w:rPr>
        <w:t>我单位</w:t>
      </w:r>
      <w:r>
        <w:rPr>
          <w:rFonts w:hint="eastAsia" w:ascii="仿宋_GB2312" w:eastAsia="仿宋_GB2312"/>
          <w:sz w:val="32"/>
          <w:highlight w:val="none"/>
        </w:rPr>
        <w:t>国有资产配置计划资金</w:t>
      </w:r>
      <w:r>
        <w:rPr>
          <w:rFonts w:hint="eastAsia" w:ascii="仿宋_GB2312" w:eastAsia="仿宋_GB2312"/>
          <w:sz w:val="32"/>
          <w:highlight w:val="none"/>
          <w:lang w:val="en-US" w:eastAsia="zh-CN"/>
        </w:rPr>
        <w:t>0</w:t>
      </w:r>
      <w:r>
        <w:rPr>
          <w:rFonts w:hint="eastAsia" w:ascii="仿宋_GB2312" w:eastAsia="仿宋_GB2312"/>
          <w:sz w:val="32"/>
          <w:highlight w:val="none"/>
        </w:rPr>
        <w:t>万元，计划新增资产</w:t>
      </w:r>
      <w:r>
        <w:rPr>
          <w:rFonts w:hint="eastAsia" w:ascii="仿宋_GB2312" w:eastAsia="仿宋_GB2312"/>
          <w:sz w:val="32"/>
          <w:highlight w:val="none"/>
          <w:lang w:val="en-US" w:eastAsia="zh-CN"/>
        </w:rPr>
        <w:t>0</w:t>
      </w:r>
      <w:r>
        <w:rPr>
          <w:rFonts w:hint="eastAsia" w:ascii="仿宋_GB2312" w:eastAsia="仿宋_GB2312"/>
          <w:sz w:val="32"/>
          <w:highlight w:val="none"/>
        </w:rPr>
        <w:t>台/件/组。</w:t>
      </w:r>
    </w:p>
    <w:p w14:paraId="5BA03F5D">
      <w:pPr>
        <w:snapToGrid w:val="0"/>
        <w:spacing w:line="500" w:lineRule="exact"/>
        <w:ind w:firstLine="640" w:firstLineChars="200"/>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四、</w:t>
      </w:r>
      <w:r>
        <w:rPr>
          <w:rFonts w:hint="eastAsia" w:ascii="黑体" w:hAnsi="黑体" w:eastAsia="黑体"/>
          <w:color w:val="000000"/>
          <w:sz w:val="32"/>
          <w:szCs w:val="32"/>
          <w:highlight w:val="none"/>
          <w:lang w:val="en-US" w:eastAsia="zh-CN"/>
        </w:rPr>
        <w:t>项目</w:t>
      </w:r>
      <w:r>
        <w:rPr>
          <w:rFonts w:hint="eastAsia" w:ascii="黑体" w:hAnsi="黑体" w:eastAsia="黑体"/>
          <w:color w:val="000000"/>
          <w:sz w:val="32"/>
          <w:szCs w:val="32"/>
          <w:highlight w:val="none"/>
        </w:rPr>
        <w:t>支出绩效目标情况说明</w:t>
      </w:r>
    </w:p>
    <w:p w14:paraId="0B21FFD9">
      <w:pPr>
        <w:pBdr>
          <w:bottom w:val="single" w:color="FFFFFF" w:sz="4" w:space="30"/>
        </w:pBdr>
        <w:snapToGrid w:val="0"/>
        <w:spacing w:line="58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年，填报绩效目标的预算项目</w:t>
      </w:r>
      <w:r>
        <w:rPr>
          <w:rFonts w:hint="eastAsia" w:ascii="仿宋_GB2312" w:eastAsia="仿宋_GB2312"/>
          <w:sz w:val="32"/>
          <w:szCs w:val="32"/>
          <w:highlight w:val="none"/>
          <w:lang w:val="en-US" w:eastAsia="zh-CN"/>
        </w:rPr>
        <w:t>33</w:t>
      </w:r>
      <w:r>
        <w:rPr>
          <w:rFonts w:hint="eastAsia" w:ascii="仿宋_GB2312" w:eastAsia="仿宋_GB2312"/>
          <w:sz w:val="32"/>
          <w:szCs w:val="32"/>
          <w:highlight w:val="none"/>
        </w:rPr>
        <w:t>个，</w:t>
      </w:r>
      <w:bookmarkStart w:id="0" w:name="OLE_LINK1"/>
      <w:r>
        <w:rPr>
          <w:rFonts w:hint="eastAsia" w:ascii="仿宋_GB2312" w:eastAsia="仿宋_GB2312"/>
          <w:sz w:val="32"/>
          <w:szCs w:val="32"/>
          <w:highlight w:val="none"/>
        </w:rPr>
        <w:t>公开绩效目标</w:t>
      </w:r>
      <w:r>
        <w:rPr>
          <w:rFonts w:hint="eastAsia" w:ascii="仿宋_GB2312" w:eastAsia="仿宋_GB2312"/>
          <w:sz w:val="32"/>
          <w:szCs w:val="32"/>
          <w:highlight w:val="none"/>
          <w:lang w:val="en-US" w:eastAsia="zh-CN"/>
        </w:rPr>
        <w:t>33</w:t>
      </w:r>
      <w:r>
        <w:rPr>
          <w:rFonts w:hint="eastAsia" w:ascii="仿宋_GB2312" w:eastAsia="仿宋_GB2312"/>
          <w:sz w:val="32"/>
          <w:szCs w:val="32"/>
          <w:highlight w:val="none"/>
        </w:rPr>
        <w:t>个，公开项目占全部预算项目的</w:t>
      </w:r>
      <w:r>
        <w:rPr>
          <w:rFonts w:hint="eastAsia" w:ascii="仿宋_GB2312" w:eastAsia="仿宋_GB2312"/>
          <w:sz w:val="32"/>
          <w:szCs w:val="32"/>
          <w:highlight w:val="none"/>
          <w:lang w:val="en-US" w:eastAsia="zh-CN"/>
        </w:rPr>
        <w:t>100</w:t>
      </w:r>
      <w:r>
        <w:rPr>
          <w:rFonts w:hint="eastAsia" w:ascii="仿宋_GB2312" w:eastAsia="仿宋_GB2312"/>
          <w:sz w:val="32"/>
          <w:szCs w:val="32"/>
          <w:highlight w:val="none"/>
        </w:rPr>
        <w:t>%。</w:t>
      </w:r>
      <w:bookmarkEnd w:id="0"/>
      <w:r>
        <w:rPr>
          <w:rFonts w:hint="eastAsia" w:ascii="仿宋_GB2312" w:eastAsia="仿宋_GB2312"/>
          <w:sz w:val="32"/>
          <w:szCs w:val="32"/>
          <w:highlight w:val="none"/>
        </w:rPr>
        <w:t>公开填报绩效目标的项目支出预算</w:t>
      </w:r>
      <w:r>
        <w:rPr>
          <w:rFonts w:hint="eastAsia" w:ascii="仿宋_GB2312" w:eastAsia="仿宋_GB2312"/>
          <w:sz w:val="32"/>
          <w:szCs w:val="32"/>
          <w:highlight w:val="none"/>
          <w:lang w:val="en-US" w:eastAsia="zh-CN"/>
        </w:rPr>
        <w:t>2384.33</w:t>
      </w:r>
      <w:r>
        <w:rPr>
          <w:rFonts w:hint="eastAsia" w:ascii="仿宋_GB2312" w:eastAsia="仿宋_GB2312"/>
          <w:sz w:val="32"/>
          <w:szCs w:val="32"/>
          <w:highlight w:val="none"/>
        </w:rPr>
        <w:t>万元，占全部项目支出预算的</w:t>
      </w:r>
      <w:r>
        <w:rPr>
          <w:rFonts w:hint="eastAsia" w:ascii="仿宋_GB2312" w:eastAsia="仿宋_GB2312"/>
          <w:sz w:val="32"/>
          <w:szCs w:val="32"/>
          <w:highlight w:val="none"/>
          <w:lang w:val="en-US" w:eastAsia="zh-CN"/>
        </w:rPr>
        <w:t>100</w:t>
      </w:r>
      <w:r>
        <w:rPr>
          <w:rFonts w:hint="eastAsia" w:ascii="仿宋_GB2312" w:eastAsia="仿宋_GB2312"/>
          <w:sz w:val="32"/>
          <w:szCs w:val="32"/>
          <w:highlight w:val="none"/>
        </w:rPr>
        <w:t>%。</w:t>
      </w:r>
    </w:p>
    <w:p w14:paraId="76D4314B">
      <w:pPr>
        <w:pBdr>
          <w:bottom w:val="single" w:color="FFFFFF" w:sz="4" w:space="30"/>
        </w:pBdr>
        <w:snapToGrid w:val="0"/>
        <w:spacing w:line="580" w:lineRule="exact"/>
        <w:ind w:firstLine="640" w:firstLineChars="200"/>
        <w:rPr>
          <w:rFonts w:hint="eastAsia" w:ascii="仿宋_GB2312" w:hAnsi="黑体" w:eastAsia="仿宋_GB2312"/>
          <w:color w:val="FF0000"/>
          <w:sz w:val="32"/>
          <w:szCs w:val="32"/>
          <w:highlight w:val="none"/>
        </w:rPr>
      </w:pPr>
      <w:r>
        <w:rPr>
          <w:rFonts w:hint="eastAsia" w:ascii="仿宋_GB2312" w:hAnsi="仿宋" w:eastAsia="仿宋_GB2312" w:cs="仿宋"/>
          <w:bCs/>
          <w:sz w:val="32"/>
          <w:szCs w:val="32"/>
          <w:highlight w:val="none"/>
        </w:rPr>
        <w:t>根据部门预算编制要求，对重点项目预算的绩效目标进行设置</w:t>
      </w:r>
      <w:r>
        <w:rPr>
          <w:rFonts w:hint="eastAsia" w:ascii="仿宋_GB2312" w:hAnsi="仿宋" w:eastAsia="仿宋_GB2312" w:cs="仿宋"/>
          <w:bCs/>
          <w:sz w:val="32"/>
          <w:szCs w:val="32"/>
          <w:highlight w:val="none"/>
          <w:lang w:eastAsia="zh-CN"/>
        </w:rPr>
        <w:t>。202</w:t>
      </w:r>
      <w:r>
        <w:rPr>
          <w:rFonts w:hint="eastAsia" w:ascii="仿宋_GB2312" w:hAnsi="仿宋" w:eastAsia="仿宋_GB2312" w:cs="仿宋"/>
          <w:bCs/>
          <w:sz w:val="32"/>
          <w:szCs w:val="32"/>
          <w:highlight w:val="none"/>
          <w:lang w:val="en-US" w:eastAsia="zh-CN"/>
        </w:rPr>
        <w:t>6</w:t>
      </w:r>
      <w:r>
        <w:rPr>
          <w:rFonts w:hint="eastAsia" w:ascii="仿宋_GB2312" w:hAnsi="仿宋" w:eastAsia="仿宋_GB2312" w:cs="仿宋"/>
          <w:bCs/>
          <w:sz w:val="32"/>
          <w:szCs w:val="32"/>
          <w:highlight w:val="none"/>
        </w:rPr>
        <w:t>年，我</w:t>
      </w:r>
      <w:r>
        <w:rPr>
          <w:rFonts w:hint="eastAsia" w:ascii="仿宋_GB2312" w:hAnsi="仿宋" w:eastAsia="仿宋_GB2312" w:cs="仿宋"/>
          <w:bCs/>
          <w:sz w:val="32"/>
          <w:szCs w:val="32"/>
          <w:highlight w:val="none"/>
          <w:lang w:val="en-US" w:eastAsia="zh-CN"/>
        </w:rPr>
        <w:t>单位</w:t>
      </w:r>
      <w:r>
        <w:rPr>
          <w:rFonts w:hint="eastAsia" w:ascii="仿宋_GB2312" w:hAnsi="仿宋" w:eastAsia="仿宋_GB2312" w:cs="仿宋"/>
          <w:bCs/>
          <w:sz w:val="32"/>
          <w:szCs w:val="32"/>
          <w:highlight w:val="none"/>
        </w:rPr>
        <w:t>对共计</w:t>
      </w:r>
      <w:r>
        <w:rPr>
          <w:rFonts w:hint="eastAsia" w:ascii="仿宋_GB2312" w:hAnsi="仿宋" w:eastAsia="仿宋_GB2312" w:cs="仿宋"/>
          <w:bCs/>
          <w:sz w:val="32"/>
          <w:szCs w:val="32"/>
          <w:highlight w:val="none"/>
          <w:lang w:val="en-US" w:eastAsia="zh-CN"/>
        </w:rPr>
        <w:t>33</w:t>
      </w:r>
      <w:r>
        <w:rPr>
          <w:rFonts w:hint="eastAsia" w:ascii="仿宋_GB2312" w:hAnsi="仿宋" w:eastAsia="仿宋_GB2312" w:cs="仿宋"/>
          <w:bCs/>
          <w:sz w:val="32"/>
          <w:szCs w:val="32"/>
          <w:highlight w:val="none"/>
        </w:rPr>
        <w:t>个预算项目设置绩效目标，从预算执行、产出、效益、满意度等多方面对预算项目进行综合绩效管理。</w:t>
      </w:r>
      <w:r>
        <w:rPr>
          <w:rFonts w:hint="eastAsia" w:ascii="仿宋_GB2312" w:hAnsi="仿宋" w:eastAsia="仿宋_GB2312" w:cs="仿宋"/>
          <w:bCs/>
          <w:sz w:val="32"/>
          <w:szCs w:val="32"/>
          <w:highlight w:val="none"/>
          <w:lang w:val="en-US" w:eastAsia="zh-CN"/>
        </w:rPr>
        <w:t>涉及</w:t>
      </w:r>
      <w:r>
        <w:rPr>
          <w:rFonts w:hint="eastAsia" w:ascii="仿宋_GB2312" w:hAnsi="仿宋" w:eastAsia="仿宋_GB2312" w:cs="仿宋"/>
          <w:bCs/>
          <w:sz w:val="32"/>
          <w:szCs w:val="32"/>
          <w:highlight w:val="none"/>
        </w:rPr>
        <w:t>项目绩效指标</w:t>
      </w:r>
      <w:r>
        <w:rPr>
          <w:rFonts w:hint="eastAsia" w:ascii="仿宋_GB2312" w:hAnsi="仿宋" w:eastAsia="仿宋_GB2312" w:cs="仿宋"/>
          <w:bCs/>
          <w:sz w:val="32"/>
          <w:szCs w:val="32"/>
          <w:highlight w:val="none"/>
          <w:lang w:val="en-US" w:eastAsia="zh-CN"/>
        </w:rPr>
        <w:t>99</w:t>
      </w:r>
      <w:r>
        <w:rPr>
          <w:rFonts w:hint="eastAsia" w:ascii="仿宋_GB2312" w:hAnsi="仿宋" w:eastAsia="仿宋_GB2312" w:cs="仿宋"/>
          <w:bCs/>
          <w:sz w:val="32"/>
          <w:szCs w:val="32"/>
          <w:highlight w:val="none"/>
        </w:rPr>
        <w:t>项，一级指标中：产出指标</w:t>
      </w:r>
      <w:r>
        <w:rPr>
          <w:rFonts w:hint="eastAsia" w:ascii="仿宋_GB2312" w:hAnsi="仿宋" w:eastAsia="仿宋_GB2312" w:cs="仿宋"/>
          <w:bCs/>
          <w:sz w:val="32"/>
          <w:szCs w:val="32"/>
          <w:highlight w:val="none"/>
          <w:lang w:val="en-US" w:eastAsia="zh-CN"/>
        </w:rPr>
        <w:t>33</w:t>
      </w:r>
      <w:r>
        <w:rPr>
          <w:rFonts w:hint="eastAsia" w:ascii="仿宋_GB2312" w:hAnsi="仿宋" w:eastAsia="仿宋_GB2312" w:cs="仿宋"/>
          <w:bCs/>
          <w:sz w:val="32"/>
          <w:szCs w:val="32"/>
          <w:highlight w:val="none"/>
        </w:rPr>
        <w:t>项，效益指标</w:t>
      </w:r>
      <w:r>
        <w:rPr>
          <w:rFonts w:hint="eastAsia" w:ascii="仿宋_GB2312" w:hAnsi="仿宋" w:eastAsia="仿宋_GB2312" w:cs="仿宋"/>
          <w:bCs/>
          <w:sz w:val="32"/>
          <w:szCs w:val="32"/>
          <w:highlight w:val="none"/>
          <w:lang w:val="en-US" w:eastAsia="zh-CN"/>
        </w:rPr>
        <w:t>33</w:t>
      </w:r>
      <w:r>
        <w:rPr>
          <w:rFonts w:hint="eastAsia" w:ascii="仿宋_GB2312" w:hAnsi="仿宋" w:eastAsia="仿宋_GB2312" w:cs="仿宋"/>
          <w:bCs/>
          <w:sz w:val="32"/>
          <w:szCs w:val="32"/>
          <w:highlight w:val="none"/>
        </w:rPr>
        <w:t>项，满意度指标</w:t>
      </w:r>
      <w:r>
        <w:rPr>
          <w:rFonts w:hint="eastAsia" w:ascii="仿宋_GB2312" w:hAnsi="仿宋" w:eastAsia="仿宋_GB2312" w:cs="仿宋"/>
          <w:bCs/>
          <w:sz w:val="32"/>
          <w:szCs w:val="32"/>
          <w:highlight w:val="none"/>
          <w:lang w:val="en-US" w:eastAsia="zh-CN"/>
        </w:rPr>
        <w:t>33</w:t>
      </w:r>
      <w:r>
        <w:rPr>
          <w:rFonts w:hint="eastAsia" w:ascii="仿宋_GB2312" w:hAnsi="仿宋" w:eastAsia="仿宋_GB2312" w:cs="仿宋"/>
          <w:bCs/>
          <w:sz w:val="32"/>
          <w:szCs w:val="32"/>
          <w:highlight w:val="none"/>
        </w:rPr>
        <w:t>项。二级指标中：数量指标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服务覆盖社区村数量、项目改造数量</w:t>
      </w:r>
      <w:r>
        <w:rPr>
          <w:rFonts w:hint="eastAsia" w:ascii="仿宋_GB2312" w:hAnsi="仿宋" w:eastAsia="仿宋_GB2312" w:cs="仿宋"/>
          <w:bCs/>
          <w:sz w:val="32"/>
          <w:szCs w:val="32"/>
          <w:highlight w:val="none"/>
        </w:rPr>
        <w:t>等；质量指标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验收合格率、资金使用率</w:t>
      </w:r>
      <w:r>
        <w:rPr>
          <w:rFonts w:hint="eastAsia" w:ascii="仿宋_GB2312" w:hAnsi="仿宋" w:eastAsia="仿宋_GB2312" w:cs="仿宋"/>
          <w:bCs/>
          <w:sz w:val="32"/>
          <w:szCs w:val="32"/>
          <w:highlight w:val="none"/>
        </w:rPr>
        <w:t>等；时效指标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验收及时率、资金支付及时率</w:t>
      </w:r>
      <w:r>
        <w:rPr>
          <w:rFonts w:hint="eastAsia" w:ascii="仿宋_GB2312" w:hAnsi="仿宋" w:eastAsia="仿宋_GB2312" w:cs="仿宋"/>
          <w:bCs/>
          <w:sz w:val="32"/>
          <w:szCs w:val="32"/>
          <w:highlight w:val="none"/>
        </w:rPr>
        <w:t>等；成本指标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eastAsia="zh-CN"/>
        </w:rPr>
        <w:t>本年</w:t>
      </w:r>
      <w:r>
        <w:rPr>
          <w:rFonts w:hint="eastAsia" w:ascii="仿宋_GB2312" w:hAnsi="仿宋" w:eastAsia="仿宋_GB2312" w:cs="仿宋"/>
          <w:bCs/>
          <w:sz w:val="32"/>
          <w:szCs w:val="32"/>
          <w:highlight w:val="none"/>
          <w:lang w:val="en-US" w:eastAsia="zh-CN"/>
        </w:rPr>
        <w:t>匹配资金、本年支付资金</w:t>
      </w:r>
      <w:r>
        <w:rPr>
          <w:rFonts w:hint="eastAsia" w:ascii="仿宋_GB2312" w:hAnsi="仿宋" w:eastAsia="仿宋_GB2312" w:cs="仿宋"/>
          <w:bCs/>
          <w:sz w:val="32"/>
          <w:szCs w:val="32"/>
          <w:highlight w:val="none"/>
        </w:rPr>
        <w:t>等；社会效益指标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提升群众幸福指数</w:t>
      </w:r>
      <w:r>
        <w:rPr>
          <w:rFonts w:hint="eastAsia" w:ascii="仿宋_GB2312" w:hAnsi="仿宋" w:eastAsia="仿宋_GB2312" w:cs="仿宋"/>
          <w:bCs/>
          <w:sz w:val="32"/>
          <w:szCs w:val="32"/>
          <w:highlight w:val="none"/>
        </w:rPr>
        <w:t>等；可持续影响指标</w:t>
      </w:r>
      <w:r>
        <w:rPr>
          <w:rFonts w:hint="eastAsia" w:ascii="仿宋_GB2312" w:hAnsi="仿宋" w:eastAsia="仿宋_GB2312" w:cs="仿宋"/>
          <w:bCs/>
          <w:sz w:val="32"/>
          <w:szCs w:val="32"/>
          <w:highlight w:val="none"/>
          <w:lang w:val="en-US" w:eastAsia="zh-CN"/>
        </w:rPr>
        <w:t>66</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提升服务质量</w:t>
      </w:r>
      <w:r>
        <w:rPr>
          <w:rFonts w:hint="eastAsia" w:ascii="仿宋_GB2312" w:hAnsi="仿宋" w:eastAsia="仿宋_GB2312" w:cs="仿宋"/>
          <w:bCs/>
          <w:sz w:val="32"/>
          <w:szCs w:val="32"/>
          <w:highlight w:val="none"/>
        </w:rPr>
        <w:t>等；服务对象满意度指标</w:t>
      </w:r>
      <w:r>
        <w:rPr>
          <w:rFonts w:hint="eastAsia" w:ascii="仿宋_GB2312" w:hAnsi="仿宋" w:eastAsia="仿宋_GB2312" w:cs="仿宋"/>
          <w:bCs/>
          <w:sz w:val="32"/>
          <w:szCs w:val="32"/>
          <w:highlight w:val="none"/>
          <w:lang w:val="en-US" w:eastAsia="zh-CN"/>
        </w:rPr>
        <w:t xml:space="preserve">  </w:t>
      </w:r>
      <w:r>
        <w:rPr>
          <w:rFonts w:hint="eastAsia" w:ascii="仿宋_GB2312" w:hAnsi="仿宋" w:eastAsia="仿宋_GB2312" w:cs="仿宋"/>
          <w:bCs/>
          <w:sz w:val="32"/>
          <w:szCs w:val="32"/>
          <w:highlight w:val="none"/>
        </w:rPr>
        <w:t>项，包括</w:t>
      </w:r>
      <w:r>
        <w:rPr>
          <w:rFonts w:hint="eastAsia" w:ascii="仿宋_GB2312" w:hAnsi="仿宋" w:eastAsia="仿宋_GB2312" w:cs="仿宋"/>
          <w:bCs/>
          <w:sz w:val="32"/>
          <w:szCs w:val="32"/>
          <w:highlight w:val="none"/>
          <w:lang w:val="en-US" w:eastAsia="zh-CN"/>
        </w:rPr>
        <w:t>受益人群满意度</w:t>
      </w:r>
      <w:r>
        <w:rPr>
          <w:rFonts w:hint="eastAsia" w:ascii="仿宋_GB2312" w:hAnsi="仿宋" w:eastAsia="仿宋_GB2312" w:cs="仿宋"/>
          <w:bCs/>
          <w:sz w:val="32"/>
          <w:szCs w:val="32"/>
          <w:highlight w:val="none"/>
        </w:rPr>
        <w:t xml:space="preserve">等。 </w:t>
      </w:r>
    </w:p>
    <w:p w14:paraId="2287C939">
      <w:pPr>
        <w:adjustRightInd w:val="0"/>
        <w:snapToGrid w:val="0"/>
        <w:spacing w:line="500" w:lineRule="exact"/>
        <w:jc w:val="center"/>
        <w:rPr>
          <w:rFonts w:ascii="楷体_GB2312" w:hAnsi="黑体" w:eastAsia="楷体_GB2312"/>
          <w:b/>
          <w:color w:val="000000"/>
          <w:sz w:val="36"/>
          <w:szCs w:val="36"/>
          <w:highlight w:val="none"/>
        </w:rPr>
      </w:pPr>
      <w:r>
        <w:rPr>
          <w:rFonts w:hint="eastAsia" w:ascii="仿宋_GB2312" w:hAnsi="仿宋" w:eastAsia="仿宋_GB2312" w:cs="仿宋"/>
          <w:bCs/>
          <w:sz w:val="32"/>
          <w:szCs w:val="32"/>
          <w:highlight w:val="none"/>
          <w:lang w:val="en-US" w:eastAsia="zh-CN"/>
        </w:rPr>
        <w:t xml:space="preserve"> </w:t>
      </w:r>
      <w:r>
        <w:rPr>
          <w:rFonts w:hint="eastAsia" w:ascii="楷体_GB2312" w:hAnsi="黑体" w:eastAsia="楷体_GB2312"/>
          <w:b/>
          <w:color w:val="000000"/>
          <w:sz w:val="36"/>
          <w:szCs w:val="36"/>
          <w:highlight w:val="none"/>
        </w:rPr>
        <w:t>第四部分  名词解释</w:t>
      </w:r>
    </w:p>
    <w:p w14:paraId="7AE1F0F9">
      <w:pPr>
        <w:snapToGrid w:val="0"/>
        <w:spacing w:line="500" w:lineRule="exact"/>
        <w:jc w:val="center"/>
        <w:rPr>
          <w:rFonts w:eastAsia="仿宋_GB2312"/>
          <w:color w:val="000000"/>
          <w:sz w:val="32"/>
          <w:szCs w:val="32"/>
          <w:highlight w:val="none"/>
        </w:rPr>
      </w:pPr>
    </w:p>
    <w:p w14:paraId="6C41B3EA">
      <w:pPr>
        <w:snapToGrid w:val="0"/>
        <w:spacing w:line="500" w:lineRule="exact"/>
        <w:ind w:firstLine="640" w:firstLineChars="200"/>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一、一般公共预算财政拨款收入：</w:t>
      </w:r>
      <w:r>
        <w:rPr>
          <w:rFonts w:hint="eastAsia" w:ascii="仿宋_GB2312" w:hAnsi="宋体" w:eastAsia="仿宋_GB2312"/>
          <w:color w:val="000000"/>
          <w:sz w:val="32"/>
          <w:szCs w:val="32"/>
          <w:highlight w:val="none"/>
        </w:rPr>
        <w:t>是指</w:t>
      </w:r>
      <w:r>
        <w:rPr>
          <w:rFonts w:hint="eastAsia" w:ascii="仿宋_GB2312" w:hAnsi="宋体" w:eastAsia="仿宋_GB2312"/>
          <w:color w:val="000000"/>
          <w:sz w:val="32"/>
          <w:szCs w:val="32"/>
          <w:highlight w:val="none"/>
          <w:lang w:eastAsia="zh-CN"/>
        </w:rPr>
        <w:t>科尔沁区</w:t>
      </w:r>
      <w:r>
        <w:rPr>
          <w:rFonts w:hint="eastAsia" w:ascii="仿宋_GB2312" w:hAnsi="宋体" w:eastAsia="仿宋_GB2312"/>
          <w:color w:val="000000"/>
          <w:sz w:val="32"/>
          <w:szCs w:val="32"/>
          <w:highlight w:val="none"/>
        </w:rPr>
        <w:t>财政当年拨付的资金。</w:t>
      </w:r>
    </w:p>
    <w:p w14:paraId="79E3359C">
      <w:pPr>
        <w:snapToGrid w:val="0"/>
        <w:spacing w:line="500" w:lineRule="exact"/>
        <w:ind w:firstLine="640" w:firstLineChars="200"/>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二、事业收入：</w:t>
      </w:r>
      <w:r>
        <w:rPr>
          <w:rFonts w:hint="eastAsia" w:ascii="仿宋_GB2312" w:hAnsi="宋体" w:eastAsia="仿宋_GB2312"/>
          <w:color w:val="000000"/>
          <w:sz w:val="32"/>
          <w:szCs w:val="32"/>
          <w:highlight w:val="none"/>
        </w:rPr>
        <w:t>是指事业单位开展专业业务活动及辅助活动所取得的收入。</w:t>
      </w:r>
    </w:p>
    <w:p w14:paraId="0ADDDE53">
      <w:pPr>
        <w:snapToGrid w:val="0"/>
        <w:spacing w:line="500" w:lineRule="exact"/>
        <w:ind w:firstLine="645"/>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三、事业单位经营收入</w:t>
      </w:r>
      <w:r>
        <w:rPr>
          <w:rFonts w:hint="eastAsia" w:ascii="仿宋_GB2312" w:hAnsi="宋体" w:eastAsia="仿宋_GB2312"/>
          <w:color w:val="000000"/>
          <w:sz w:val="32"/>
          <w:szCs w:val="32"/>
          <w:highlight w:val="none"/>
        </w:rPr>
        <w:t>：是指事业单位在专业业务活动及其辅助活动之外开展非独立核算经营活动取得的收入。</w:t>
      </w:r>
    </w:p>
    <w:p w14:paraId="4BBE29EB">
      <w:pPr>
        <w:snapToGrid w:val="0"/>
        <w:spacing w:line="500" w:lineRule="exact"/>
        <w:ind w:firstLine="645"/>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四、其他收入</w:t>
      </w:r>
      <w:r>
        <w:rPr>
          <w:rFonts w:hint="eastAsia" w:ascii="仿宋_GB2312" w:hAnsi="宋体" w:eastAsia="仿宋_GB2312"/>
          <w:color w:val="000000"/>
          <w:sz w:val="32"/>
          <w:szCs w:val="32"/>
          <w:highlight w:val="none"/>
        </w:rPr>
        <w:t xml:space="preserve"> ：是指除上述“一般公共预算财政拨款收入”、“事业收入”、“事业单位经营收入”等以外的收入。主要是指按规定动用的售房收入、存款利息收入等。</w:t>
      </w:r>
    </w:p>
    <w:p w14:paraId="487BED98">
      <w:pPr>
        <w:snapToGrid w:val="0"/>
        <w:spacing w:line="500" w:lineRule="exact"/>
        <w:ind w:firstLine="645"/>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五、用事业基金弥补收支差额</w:t>
      </w:r>
      <w:r>
        <w:rPr>
          <w:rFonts w:hint="eastAsia" w:ascii="仿宋_GB2312" w:hAnsi="宋体" w:eastAsia="仿宋_GB2312"/>
          <w:color w:val="000000"/>
          <w:sz w:val="32"/>
          <w:szCs w:val="32"/>
          <w:highlight w:val="none"/>
        </w:rPr>
        <w:t>：是指事业单位在预计用当年的“一般公共预算财政拨款收入”、“财政拨款结转和结余资金”、“事业收入” 、“事业单位经营收入”、“其他收入”不足以安排当年支出的情况下，使用以前年度积累的事业基金（事业单位当年收支相抵后按国家规定提取、用于弥补以后年度收支差额的基金）弥补本年收支缺口的资金。</w:t>
      </w:r>
    </w:p>
    <w:p w14:paraId="09F8F271">
      <w:pPr>
        <w:snapToGrid w:val="0"/>
        <w:spacing w:line="500" w:lineRule="exact"/>
        <w:ind w:firstLine="645"/>
        <w:rPr>
          <w:rFonts w:ascii="仿宋_GB2312" w:hAnsi="宋体" w:eastAsia="仿宋_GB2312"/>
          <w:color w:val="000000"/>
          <w:sz w:val="32"/>
          <w:szCs w:val="32"/>
          <w:highlight w:val="none"/>
        </w:rPr>
      </w:pPr>
      <w:r>
        <w:rPr>
          <w:rFonts w:hint="eastAsia" w:ascii="黑体" w:hAnsi="宋体" w:eastAsia="黑体"/>
          <w:color w:val="000000"/>
          <w:sz w:val="32"/>
          <w:szCs w:val="32"/>
          <w:highlight w:val="none"/>
        </w:rPr>
        <w:t>六、上年结转和结余</w:t>
      </w:r>
      <w:r>
        <w:rPr>
          <w:rFonts w:hint="eastAsia" w:ascii="仿宋_GB2312" w:hAnsi="宋体" w:eastAsia="仿宋_GB2312"/>
          <w:color w:val="000000"/>
          <w:sz w:val="32"/>
          <w:szCs w:val="32"/>
          <w:highlight w:val="none"/>
        </w:rPr>
        <w:t>：是指以前年度尚未完成、结转到本年仍按原规定用途继续使用的资金。</w:t>
      </w:r>
    </w:p>
    <w:p w14:paraId="1F267985">
      <w:pPr>
        <w:snapToGrid w:val="0"/>
        <w:spacing w:line="500" w:lineRule="exact"/>
        <w:ind w:firstLine="645"/>
        <w:rPr>
          <w:rFonts w:ascii="仿宋_GB2312" w:eastAsia="仿宋_GB2312"/>
          <w:sz w:val="32"/>
          <w:szCs w:val="32"/>
          <w:highlight w:val="none"/>
        </w:rPr>
      </w:pPr>
      <w:r>
        <w:rPr>
          <w:rFonts w:hint="eastAsia" w:ascii="黑体" w:eastAsia="黑体"/>
          <w:sz w:val="32"/>
          <w:szCs w:val="32"/>
          <w:highlight w:val="none"/>
        </w:rPr>
        <w:t>七、基本支出</w:t>
      </w:r>
      <w:r>
        <w:rPr>
          <w:rFonts w:hint="eastAsia" w:ascii="仿宋_GB2312" w:eastAsia="仿宋_GB2312"/>
          <w:sz w:val="32"/>
          <w:szCs w:val="32"/>
          <w:highlight w:val="none"/>
        </w:rPr>
        <w:t>：是指为保障机构正常运转，完成日常工作任务而发生的人员支出和</w:t>
      </w:r>
      <w:r>
        <w:rPr>
          <w:rFonts w:hint="eastAsia" w:ascii="仿宋_GB2312" w:eastAsia="仿宋_GB2312"/>
          <w:sz w:val="32"/>
          <w:szCs w:val="32"/>
          <w:highlight w:val="none"/>
          <w:lang w:eastAsia="zh-CN"/>
        </w:rPr>
        <w:t>公用</w:t>
      </w:r>
      <w:r>
        <w:rPr>
          <w:rFonts w:hint="eastAsia" w:ascii="仿宋_GB2312" w:eastAsia="仿宋_GB2312"/>
          <w:sz w:val="32"/>
          <w:szCs w:val="32"/>
          <w:highlight w:val="none"/>
        </w:rPr>
        <w:t>支出。</w:t>
      </w:r>
    </w:p>
    <w:p w14:paraId="52E7D7A3">
      <w:pPr>
        <w:snapToGrid w:val="0"/>
        <w:spacing w:line="500" w:lineRule="exact"/>
        <w:ind w:firstLine="645"/>
        <w:rPr>
          <w:rFonts w:ascii="仿宋_GB2312" w:eastAsia="仿宋_GB2312"/>
          <w:sz w:val="32"/>
          <w:szCs w:val="32"/>
          <w:highlight w:val="none"/>
        </w:rPr>
      </w:pPr>
      <w:r>
        <w:rPr>
          <w:rFonts w:hint="eastAsia" w:ascii="黑体" w:eastAsia="黑体"/>
          <w:sz w:val="32"/>
          <w:szCs w:val="32"/>
          <w:highlight w:val="none"/>
        </w:rPr>
        <w:t>八、项目支出</w:t>
      </w:r>
      <w:r>
        <w:rPr>
          <w:rFonts w:hint="eastAsia" w:ascii="仿宋_GB2312" w:eastAsia="仿宋_GB2312"/>
          <w:sz w:val="32"/>
          <w:szCs w:val="32"/>
          <w:highlight w:val="none"/>
        </w:rPr>
        <w:t>：是指基本支出之外，为完成特定行政任务和事业发展目标所发生的支出。</w:t>
      </w:r>
    </w:p>
    <w:p w14:paraId="2ABA4862">
      <w:pPr>
        <w:snapToGrid w:val="0"/>
        <w:spacing w:line="500" w:lineRule="exact"/>
        <w:ind w:firstLine="645"/>
        <w:rPr>
          <w:rFonts w:ascii="仿宋_GB2312" w:eastAsia="仿宋_GB2312"/>
          <w:sz w:val="32"/>
          <w:szCs w:val="32"/>
          <w:highlight w:val="none"/>
        </w:rPr>
      </w:pPr>
      <w:r>
        <w:rPr>
          <w:rFonts w:hint="eastAsia" w:ascii="黑体" w:eastAsia="黑体"/>
          <w:sz w:val="32"/>
          <w:szCs w:val="32"/>
          <w:highlight w:val="none"/>
        </w:rPr>
        <w:t>九、“三公”经费</w:t>
      </w:r>
      <w:r>
        <w:rPr>
          <w:rFonts w:hint="eastAsia" w:ascii="仿宋_GB2312" w:eastAsia="仿宋_GB2312"/>
          <w:sz w:val="32"/>
          <w:szCs w:val="32"/>
          <w:highlight w:val="none"/>
        </w:rPr>
        <w:t>：纳入财政预决算管理的“三公”经费，是指部门用财政拨款安排的因公出国（境）费、公务用车购置及运行维护费、公务接待费。其中：因公出国（境）费反映单位公务出国（境）的国际旅费、国内城市间交通费、住宿费、伙食费、培训费、公杂费等支出；公务用车购置费反映单位公务员车购置支出（含车辆购置税）；公务用车运行维护费反映单位按规定保留的公务用车燃料费、维修费、保险费、过路过桥费、安全奖励费用等支出；公务接待费反映单位按规定开支的各类公务接待（含外宾接待）支出。</w:t>
      </w:r>
    </w:p>
    <w:p w14:paraId="1352A8C5">
      <w:pPr>
        <w:adjustRightInd w:val="0"/>
        <w:snapToGrid w:val="0"/>
        <w:spacing w:line="500" w:lineRule="exact"/>
        <w:ind w:firstLine="640" w:firstLineChars="200"/>
        <w:rPr>
          <w:rFonts w:ascii="仿宋_GB2312" w:eastAsia="仿宋_GB2312"/>
          <w:sz w:val="32"/>
          <w:szCs w:val="32"/>
          <w:highlight w:val="none"/>
        </w:rPr>
      </w:pPr>
      <w:r>
        <w:rPr>
          <w:rFonts w:hint="eastAsia" w:ascii="黑体" w:eastAsia="黑体"/>
          <w:sz w:val="32"/>
          <w:szCs w:val="32"/>
          <w:highlight w:val="none"/>
        </w:rPr>
        <w:t>十、机关运行经费</w:t>
      </w:r>
      <w:r>
        <w:rPr>
          <w:rFonts w:hint="eastAsia" w:ascii="仿宋_GB2312" w:eastAsia="仿宋_GB2312"/>
          <w:sz w:val="32"/>
          <w:szCs w:val="32"/>
          <w:highlight w:val="none"/>
        </w:rPr>
        <w:t>：是指为保障行政单位（含参照公务员法管理的事业单位）运行，用于购买货物和服务等的各项公用经费，包括办公及印刷费、邮电费、差旅费、会议费、福利费、日常维修费、专业材料及一般设备购置费、办公用房水电费、办公用房取暖费、办公用房物业管理费、公务用车运行维护费以及其他费用。</w:t>
      </w:r>
    </w:p>
    <w:p w14:paraId="61133AD2">
      <w:pPr>
        <w:adjustRightInd w:val="0"/>
        <w:snapToGrid w:val="0"/>
        <w:spacing w:line="500" w:lineRule="exact"/>
        <w:ind w:firstLine="640" w:firstLineChars="200"/>
        <w:rPr>
          <w:rFonts w:ascii="仿宋_GB2312" w:eastAsia="仿宋_GB2312"/>
          <w:sz w:val="32"/>
          <w:szCs w:val="32"/>
          <w:highlight w:val="none"/>
        </w:rPr>
      </w:pPr>
      <w:r>
        <w:rPr>
          <w:rFonts w:hint="eastAsia" w:ascii="黑体" w:eastAsia="黑体"/>
          <w:sz w:val="32"/>
          <w:szCs w:val="32"/>
          <w:highlight w:val="none"/>
        </w:rPr>
        <w:t>十一、工资福利支出（支出经济分类科目类级）</w:t>
      </w:r>
      <w:r>
        <w:rPr>
          <w:rFonts w:hint="eastAsia" w:ascii="仿宋_GB2312" w:eastAsia="仿宋_GB2312"/>
          <w:sz w:val="32"/>
          <w:szCs w:val="32"/>
          <w:highlight w:val="none"/>
        </w:rPr>
        <w:t>：反映单位开支的在职职工和编制外长期聘用人员的各类活动报酬，以及为上述人员缴纳的各项社会保险费等。</w:t>
      </w:r>
    </w:p>
    <w:p w14:paraId="36585510">
      <w:pPr>
        <w:adjustRightInd w:val="0"/>
        <w:snapToGrid w:val="0"/>
        <w:spacing w:line="500" w:lineRule="exact"/>
        <w:ind w:firstLine="640" w:firstLineChars="200"/>
        <w:rPr>
          <w:rFonts w:ascii="仿宋_GB2312" w:eastAsia="仿宋_GB2312"/>
          <w:sz w:val="32"/>
          <w:szCs w:val="32"/>
          <w:highlight w:val="none"/>
        </w:rPr>
      </w:pPr>
      <w:r>
        <w:rPr>
          <w:rFonts w:hint="eastAsia" w:ascii="黑体" w:eastAsia="黑体"/>
          <w:sz w:val="32"/>
          <w:szCs w:val="32"/>
          <w:highlight w:val="none"/>
        </w:rPr>
        <w:t>十二、商品和服务支出（支出经济分类科目类级）</w:t>
      </w:r>
      <w:r>
        <w:rPr>
          <w:rFonts w:hint="eastAsia" w:ascii="仿宋_GB2312" w:eastAsia="仿宋_GB2312"/>
          <w:sz w:val="32"/>
          <w:szCs w:val="32"/>
          <w:highlight w:val="none"/>
        </w:rPr>
        <w:t>：反映单位购买商品和服务的支出（不包括用于购置固定资产的支出、战略性和应急储备支出）。</w:t>
      </w:r>
    </w:p>
    <w:p w14:paraId="6E7FFD40">
      <w:pPr>
        <w:snapToGrid w:val="0"/>
        <w:spacing w:line="500" w:lineRule="exact"/>
        <w:jc w:val="center"/>
        <w:rPr>
          <w:rFonts w:hint="eastAsia" w:ascii="楷体_GB2312" w:hAnsi="黑体" w:eastAsia="楷体_GB2312"/>
          <w:b/>
          <w:color w:val="000000"/>
          <w:sz w:val="36"/>
          <w:szCs w:val="36"/>
          <w:highlight w:val="none"/>
        </w:rPr>
      </w:pPr>
    </w:p>
    <w:p w14:paraId="6B22D0F5">
      <w:pPr>
        <w:snapToGrid w:val="0"/>
        <w:spacing w:line="500" w:lineRule="exact"/>
        <w:jc w:val="center"/>
        <w:rPr>
          <w:rFonts w:ascii="楷体_GB2312" w:hAnsi="黑体" w:eastAsia="楷体_GB2312"/>
          <w:b/>
          <w:color w:val="000000"/>
          <w:sz w:val="36"/>
          <w:szCs w:val="36"/>
          <w:highlight w:val="none"/>
        </w:rPr>
      </w:pPr>
      <w:r>
        <w:rPr>
          <w:rFonts w:hint="eastAsia" w:ascii="楷体_GB2312" w:hAnsi="黑体" w:eastAsia="楷体_GB2312"/>
          <w:b/>
          <w:color w:val="000000"/>
          <w:sz w:val="36"/>
          <w:szCs w:val="36"/>
          <w:highlight w:val="none"/>
        </w:rPr>
        <w:t>第五部分  预算公开联系方式及信息反馈渠道</w:t>
      </w:r>
    </w:p>
    <w:p w14:paraId="6590DCA4">
      <w:pPr>
        <w:snapToGrid w:val="0"/>
        <w:spacing w:line="500" w:lineRule="exact"/>
        <w:ind w:firstLine="640" w:firstLineChars="200"/>
        <w:rPr>
          <w:rFonts w:ascii="仿宋_GB2312" w:hAnsi="黑体" w:eastAsia="仿宋_GB2312"/>
          <w:color w:val="000000"/>
          <w:sz w:val="32"/>
          <w:szCs w:val="32"/>
          <w:highlight w:val="none"/>
        </w:rPr>
      </w:pPr>
      <w:r>
        <w:rPr>
          <w:rFonts w:hint="eastAsia" w:ascii="仿宋_GB2312" w:hAnsi="黑体" w:eastAsia="仿宋_GB2312"/>
          <w:color w:val="000000"/>
          <w:sz w:val="32"/>
          <w:szCs w:val="32"/>
          <w:highlight w:val="none"/>
        </w:rPr>
        <w:t>本单位预算公开信息反馈和联系方式：</w:t>
      </w:r>
    </w:p>
    <w:p w14:paraId="3DE5E765">
      <w:pPr>
        <w:snapToGrid w:val="0"/>
        <w:spacing w:line="500" w:lineRule="exact"/>
        <w:ind w:firstLine="640" w:firstLineChars="200"/>
        <w:rPr>
          <w:rFonts w:hint="default" w:ascii="仿宋_GB2312" w:hAnsi="黑体" w:eastAsia="仿宋_GB2312"/>
          <w:color w:val="000000"/>
          <w:sz w:val="32"/>
          <w:szCs w:val="32"/>
          <w:highlight w:val="none"/>
          <w:lang w:val="en-US" w:eastAsia="zh-CN"/>
        </w:rPr>
      </w:pPr>
      <w:r>
        <w:rPr>
          <w:rFonts w:hint="eastAsia" w:ascii="仿宋_GB2312" w:hAnsi="黑体" w:eastAsia="仿宋_GB2312"/>
          <w:color w:val="000000"/>
          <w:sz w:val="32"/>
          <w:szCs w:val="32"/>
          <w:highlight w:val="none"/>
        </w:rPr>
        <w:t>联系人：</w:t>
      </w:r>
      <w:r>
        <w:rPr>
          <w:rFonts w:hint="eastAsia" w:ascii="仿宋_GB2312" w:hAnsi="黑体" w:eastAsia="仿宋_GB2312"/>
          <w:color w:val="000000"/>
          <w:sz w:val="32"/>
          <w:szCs w:val="32"/>
          <w:highlight w:val="none"/>
          <w:lang w:eastAsia="zh-CN"/>
        </w:rPr>
        <w:t>朱芸辉</w:t>
      </w:r>
      <w:r>
        <w:rPr>
          <w:rFonts w:hint="eastAsia" w:ascii="仿宋_GB2312" w:hAnsi="黑体" w:eastAsia="仿宋_GB2312"/>
          <w:color w:val="000000"/>
          <w:sz w:val="32"/>
          <w:szCs w:val="32"/>
          <w:highlight w:val="none"/>
        </w:rPr>
        <w:t xml:space="preserve">        联系电话：</w:t>
      </w:r>
      <w:r>
        <w:rPr>
          <w:rFonts w:hint="eastAsia" w:ascii="仿宋_GB2312" w:hAnsi="黑体" w:eastAsia="仿宋_GB2312"/>
          <w:color w:val="000000"/>
          <w:sz w:val="32"/>
          <w:szCs w:val="32"/>
          <w:highlight w:val="none"/>
          <w:lang w:val="en-US" w:eastAsia="zh-CN"/>
        </w:rPr>
        <w:t>0475-8610255</w:t>
      </w:r>
    </w:p>
    <w:p w14:paraId="6DDA3D93">
      <w:pPr>
        <w:snapToGrid w:val="0"/>
        <w:spacing w:line="500" w:lineRule="exact"/>
        <w:jc w:val="center"/>
        <w:rPr>
          <w:rFonts w:ascii="楷体_GB2312" w:hAnsi="黑体" w:eastAsia="楷体_GB2312"/>
          <w:b/>
          <w:color w:val="000000"/>
          <w:sz w:val="36"/>
          <w:szCs w:val="36"/>
          <w:highlight w:val="none"/>
        </w:rPr>
      </w:pPr>
    </w:p>
    <w:p w14:paraId="23B51B56">
      <w:pPr>
        <w:snapToGrid w:val="0"/>
        <w:spacing w:line="500" w:lineRule="exact"/>
        <w:jc w:val="center"/>
        <w:rPr>
          <w:rFonts w:ascii="楷体_GB2312" w:hAnsi="黑体" w:eastAsia="楷体_GB2312"/>
          <w:b/>
          <w:color w:val="000000"/>
          <w:sz w:val="36"/>
          <w:szCs w:val="36"/>
          <w:highlight w:val="none"/>
        </w:rPr>
      </w:pPr>
      <w:r>
        <w:rPr>
          <w:rFonts w:hint="eastAsia" w:ascii="楷体_GB2312" w:hAnsi="黑体" w:eastAsia="楷体_GB2312"/>
          <w:b/>
          <w:color w:val="000000"/>
          <w:sz w:val="36"/>
          <w:szCs w:val="36"/>
          <w:highlight w:val="none"/>
        </w:rPr>
        <w:t>第六部分  部门预算公开表</w:t>
      </w:r>
    </w:p>
    <w:p w14:paraId="346801D6">
      <w:pPr>
        <w:spacing w:line="500" w:lineRule="exact"/>
        <w:ind w:firstLine="640" w:firstLineChars="200"/>
        <w:rPr>
          <w:rFonts w:hint="eastAsia" w:ascii="仿宋_GB2312" w:hAnsi="黑体" w:eastAsia="仿宋_GB2312"/>
          <w:color w:val="000000"/>
          <w:sz w:val="32"/>
          <w:szCs w:val="32"/>
          <w:highlight w:val="none"/>
          <w:lang w:eastAsia="zh-CN"/>
        </w:rPr>
      </w:pPr>
      <w:r>
        <w:rPr>
          <w:rFonts w:hint="eastAsia" w:ascii="仿宋_GB2312" w:hAnsi="黑体" w:eastAsia="仿宋_GB2312"/>
          <w:color w:val="000000"/>
          <w:sz w:val="32"/>
          <w:szCs w:val="32"/>
          <w:highlight w:val="none"/>
        </w:rPr>
        <w:t>详见附表</w:t>
      </w:r>
      <w:r>
        <w:rPr>
          <w:rFonts w:hint="eastAsia" w:ascii="仿宋_GB2312" w:hAnsi="黑体" w:eastAsia="仿宋_GB2312"/>
          <w:color w:val="000000"/>
          <w:sz w:val="32"/>
          <w:szCs w:val="32"/>
          <w:highlight w:val="none"/>
          <w:lang w:eastAsia="zh-CN"/>
        </w:rPr>
        <w:t>。</w:t>
      </w:r>
    </w:p>
    <w:p w14:paraId="70447D11">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74515"/>
    <w:multiLevelType w:val="singleLevel"/>
    <w:tmpl w:val="68A745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ZDJlOTkyZWM4YzdiYWM3NDI4YjcwODllZTg4YmMifQ=="/>
  </w:docVars>
  <w:rsids>
    <w:rsidRoot w:val="59936D84"/>
    <w:rsid w:val="00155103"/>
    <w:rsid w:val="003631E9"/>
    <w:rsid w:val="00410A55"/>
    <w:rsid w:val="005134D3"/>
    <w:rsid w:val="00513851"/>
    <w:rsid w:val="00671141"/>
    <w:rsid w:val="00970FAF"/>
    <w:rsid w:val="00C70F96"/>
    <w:rsid w:val="00DF5A4B"/>
    <w:rsid w:val="00E43AC6"/>
    <w:rsid w:val="00F51A1D"/>
    <w:rsid w:val="013D6288"/>
    <w:rsid w:val="04A95A05"/>
    <w:rsid w:val="079C03B5"/>
    <w:rsid w:val="0FFF10F7"/>
    <w:rsid w:val="11605A65"/>
    <w:rsid w:val="12055009"/>
    <w:rsid w:val="15E87872"/>
    <w:rsid w:val="169C14D8"/>
    <w:rsid w:val="17FD17EF"/>
    <w:rsid w:val="19C8476B"/>
    <w:rsid w:val="1C224C26"/>
    <w:rsid w:val="1F7E33FA"/>
    <w:rsid w:val="212A6044"/>
    <w:rsid w:val="223C672F"/>
    <w:rsid w:val="227E36EF"/>
    <w:rsid w:val="262C1EEA"/>
    <w:rsid w:val="283B3148"/>
    <w:rsid w:val="2928196C"/>
    <w:rsid w:val="2B4A7070"/>
    <w:rsid w:val="2C353F25"/>
    <w:rsid w:val="2E3E6096"/>
    <w:rsid w:val="313A166F"/>
    <w:rsid w:val="321A7183"/>
    <w:rsid w:val="342A078D"/>
    <w:rsid w:val="36C637A3"/>
    <w:rsid w:val="36CD61ED"/>
    <w:rsid w:val="3AB90AA2"/>
    <w:rsid w:val="42D474E2"/>
    <w:rsid w:val="44084E51"/>
    <w:rsid w:val="47EF7B38"/>
    <w:rsid w:val="4B427942"/>
    <w:rsid w:val="4C1D5EC0"/>
    <w:rsid w:val="512B2121"/>
    <w:rsid w:val="51327D9B"/>
    <w:rsid w:val="54723C7D"/>
    <w:rsid w:val="56510530"/>
    <w:rsid w:val="59936D84"/>
    <w:rsid w:val="5BF03DC9"/>
    <w:rsid w:val="5CF700B0"/>
    <w:rsid w:val="602019EA"/>
    <w:rsid w:val="69C67F6C"/>
    <w:rsid w:val="6DD420C9"/>
    <w:rsid w:val="6E080427"/>
    <w:rsid w:val="6F604BC9"/>
    <w:rsid w:val="6F9A3D49"/>
    <w:rsid w:val="70A85A76"/>
    <w:rsid w:val="726D2D81"/>
    <w:rsid w:val="72E64901"/>
    <w:rsid w:val="74A60EEF"/>
    <w:rsid w:val="75DC3281"/>
    <w:rsid w:val="76066B68"/>
    <w:rsid w:val="76767547"/>
    <w:rsid w:val="768B21DC"/>
    <w:rsid w:val="7B811CAC"/>
    <w:rsid w:val="7CBD220C"/>
    <w:rsid w:val="7DF302AE"/>
    <w:rsid w:val="E6FE5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jc w:val="both"/>
    </w:pPr>
    <w:rPr>
      <w:rFonts w:asciiTheme="minorHAnsi" w:hAnsiTheme="minorHAnsi" w:eastAsiaTheme="minorEastAsia" w:cstheme="minorBidi"/>
      <w:sz w:val="22"/>
      <w:szCs w:val="22"/>
      <w:lang w:val="ru-RU"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qFormat/>
    <w:uiPriority w:val="0"/>
    <w:pPr>
      <w:ind w:firstLine="420"/>
    </w:pPr>
  </w:style>
  <w:style w:type="character" w:customStyle="1" w:styleId="8">
    <w:name w:val="页眉 Char"/>
    <w:basedOn w:val="7"/>
    <w:link w:val="4"/>
    <w:qFormat/>
    <w:uiPriority w:val="0"/>
    <w:rPr>
      <w:sz w:val="18"/>
      <w:szCs w:val="18"/>
      <w:lang w:val="ru-RU"/>
    </w:rPr>
  </w:style>
  <w:style w:type="character" w:customStyle="1" w:styleId="9">
    <w:name w:val="页脚 Char"/>
    <w:basedOn w:val="7"/>
    <w:link w:val="3"/>
    <w:qFormat/>
    <w:uiPriority w:val="0"/>
    <w:rPr>
      <w:sz w:val="18"/>
      <w:szCs w:val="18"/>
      <w:lang w:val="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4353</Words>
  <Characters>4690</Characters>
  <Lines>29</Lines>
  <Paragraphs>8</Paragraphs>
  <TotalTime>19</TotalTime>
  <ScaleCrop>false</ScaleCrop>
  <LinksUpToDate>false</LinksUpToDate>
  <CharactersWithSpaces>4786</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2021-02-04T18:41:00Z</dcterms:created>
  <dc:creator>%E5%BC%A0%E5%BE%B7%E8%B4%B5</dc:creator>
  <cp:lastModifiedBy>yyy</cp:lastModifiedBy>
  <cp:lastPrinted>2026-08-10T09:48:05Z</cp:lastPrinted>
  <dcterms:modified xsi:type="dcterms:W3CDTF">2026-08-10T09:48:41Z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E3AEEDCE346DA1460053706A37BB126D_43</vt:lpwstr>
  </property>
  <property fmtid="{D5CDD505-2E9C-101B-9397-08002B2CF9AE}" pid="4" name="KSOTemplateDocerSaveRecord">
    <vt:lpwstr>eyJoZGlkIjoiZWY5MDIyZGRjMzlkNjU0Njk4NjI5YjcyNDZiZDBhZmEiLCJ1c2VySWQiOiIxMjc0NjM2NTUzIn0=</vt:lpwstr>
  </property>
</Properties>
</file>