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4E3574">
      <w:pPr>
        <w:rPr>
          <w:rFonts w:hint="eastAsia" w:eastAsiaTheme="minorEastAsia"/>
          <w:lang w:eastAsia="zh-CN"/>
        </w:rPr>
      </w:pPr>
      <w:r>
        <w:rPr>
          <w:rFonts w:hint="eastAsia" w:eastAsiaTheme="minorEastAsia"/>
          <w:lang w:eastAsia="zh-CN"/>
        </w:rPr>
        <w:drawing>
          <wp:inline distT="0" distB="0" distL="114300" distR="114300">
            <wp:extent cx="1308735" cy="978535"/>
            <wp:effectExtent l="0" t="0" r="1905" b="12065"/>
            <wp:docPr id="6" name="图片 6" descr="19817bb88219ba605d8131b96500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9817bb88219ba605d8131b96500aea"/>
                    <pic:cNvPicPr>
                      <a:picLocks noChangeAspect="1"/>
                    </pic:cNvPicPr>
                  </pic:nvPicPr>
                  <pic:blipFill>
                    <a:blip r:embed="rId4"/>
                    <a:stretch>
                      <a:fillRect/>
                    </a:stretch>
                  </pic:blipFill>
                  <pic:spPr>
                    <a:xfrm>
                      <a:off x="0" y="0"/>
                      <a:ext cx="1308735" cy="978535"/>
                    </a:xfrm>
                    <a:prstGeom prst="rect">
                      <a:avLst/>
                    </a:prstGeom>
                  </pic:spPr>
                </pic:pic>
              </a:graphicData>
            </a:graphic>
          </wp:inline>
        </w:drawing>
      </w:r>
    </w:p>
    <w:p w14:paraId="171A1C47">
      <w:pPr>
        <w:jc w:val="center"/>
        <w:rPr>
          <w:rFonts w:hint="eastAsia" w:ascii="隶书" w:hAnsi="隶书" w:eastAsia="隶书" w:cs="隶书"/>
          <w:color w:val="FF0000"/>
          <w:sz w:val="52"/>
          <w:szCs w:val="52"/>
          <w:lang w:eastAsia="zh-CN"/>
        </w:rPr>
      </w:pPr>
      <w:r>
        <w:rPr>
          <w:rFonts w:hint="eastAsia" w:ascii="隶书" w:hAnsi="隶书" w:eastAsia="隶书" w:cs="隶书"/>
          <w:color w:val="FF0000"/>
          <w:sz w:val="52"/>
          <w:szCs w:val="52"/>
          <w:lang w:eastAsia="zh-CN"/>
        </w:rPr>
        <w:t>通辽经济技术开发区</w:t>
      </w:r>
    </w:p>
    <w:p w14:paraId="49D8FFA9">
      <w:pPr>
        <w:jc w:val="center"/>
        <w:rPr>
          <w:rFonts w:hint="eastAsia" w:ascii="隶书" w:hAnsi="隶书" w:eastAsia="隶书" w:cs="隶书"/>
          <w:color w:val="FF0000"/>
          <w:sz w:val="52"/>
          <w:szCs w:val="52"/>
          <w:lang w:val="en-US" w:eastAsia="zh-CN"/>
        </w:rPr>
      </w:pPr>
      <w:r>
        <w:rPr>
          <w:rFonts w:hint="eastAsia" w:ascii="隶书" w:hAnsi="隶书" w:eastAsia="隶书" w:cs="隶书"/>
          <w:color w:val="FF0000"/>
          <w:sz w:val="52"/>
          <w:szCs w:val="52"/>
          <w:lang w:eastAsia="zh-CN"/>
        </w:rPr>
        <w:t>新城街道希望新城社区</w:t>
      </w:r>
      <w:r>
        <w:rPr>
          <w:rFonts w:hint="eastAsia" w:ascii="隶书" w:hAnsi="隶书" w:eastAsia="隶书" w:cs="隶书"/>
          <w:color w:val="FF0000"/>
          <w:sz w:val="52"/>
          <w:szCs w:val="52"/>
          <w:lang w:val="en-US" w:eastAsia="zh-CN"/>
        </w:rPr>
        <w:t>工作简报</w:t>
      </w:r>
    </w:p>
    <w:p w14:paraId="240B3504">
      <w:pPr>
        <w:jc w:val="center"/>
        <w:rPr>
          <w:rFonts w:hint="eastAsia" w:ascii="隶书" w:hAnsi="隶书" w:eastAsia="隶书" w:cs="隶书"/>
          <w:color w:val="FF0000"/>
          <w:sz w:val="52"/>
          <w:szCs w:val="52"/>
          <w:lang w:val="en-US" w:eastAsia="zh-CN"/>
        </w:rPr>
      </w:pPr>
    </w:p>
    <w:p w14:paraId="18487825">
      <w:pPr>
        <w:keepNext w:val="0"/>
        <w:keepLines w:val="0"/>
        <w:pageBreakBefore w:val="0"/>
        <w:widowControl w:val="0"/>
        <w:kinsoku/>
        <w:wordWrap/>
        <w:overflowPunct/>
        <w:topLinePunct w:val="0"/>
        <w:autoSpaceDE/>
        <w:autoSpaceDN/>
        <w:bidi w:val="0"/>
        <w:adjustRightInd/>
        <w:snapToGrid/>
        <w:spacing w:after="469" w:afterLines="150"/>
        <w:jc w:val="both"/>
        <w:textAlignment w:val="auto"/>
        <w:rPr>
          <w:rFonts w:hint="eastAsia" w:ascii="楷体" w:hAnsi="楷体" w:eastAsia="楷体" w:cs="楷体"/>
          <w:color w:val="auto"/>
          <w:sz w:val="32"/>
          <w:szCs w:val="32"/>
          <w:u w:val="none"/>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-160020</wp:posOffset>
                </wp:positionH>
                <wp:positionV relativeFrom="paragraph">
                  <wp:posOffset>325120</wp:posOffset>
                </wp:positionV>
                <wp:extent cx="5865495" cy="8255"/>
                <wp:effectExtent l="0" t="13970" r="1905" b="23495"/>
                <wp:wrapNone/>
                <wp:docPr id="2" name="直接连接符 2"/>
                <wp:cNvGraphicFramePr/>
                <a:graphic xmlns:a="http://schemas.openxmlformats.org/drawingml/2006/main">
                  <a:graphicData uri="http://schemas.microsoft.com/office/word/2010/wordprocessingShape">
                    <wps:wsp>
                      <wps:cNvCnPr/>
                      <wps:spPr>
                        <a:xfrm>
                          <a:off x="1061720" y="5518150"/>
                          <a:ext cx="5865495" cy="8255"/>
                        </a:xfrm>
                        <a:prstGeom prst="line">
                          <a:avLst/>
                        </a:prstGeom>
                        <a:ln w="28575">
                          <a:solidFill>
                            <a:srgbClr val="FF0000"/>
                          </a:solidFill>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id="_x0000_s1026" o:spid="_x0000_s1026" o:spt="20" style="position:absolute;left:0pt;margin-left:-12.6pt;margin-top:25.6pt;height:0.65pt;width:461.85pt;z-index:251659264;mso-width-relative:page;mso-height-relative:page;" filled="f" stroked="t" coordsize="21600,21600" o:gfxdata="UEsDBAoAAAAAAIdO4kAAAAAAAAAAAAAAAAAEAAAAZHJzL1BLAwQUAAAACACHTuJA9DQxM9kAAAAJ&#10;AQAADwAAAGRycy9kb3ducmV2LnhtbE2PwU7DMAyG70i8Q2QkLmhLG6moK00ngbTDDgjYhsQxa0xb&#10;aJyqybry9pjTOFm2P/3+XK5n14sJx9B50pAuExBItbcdNRoO+80iBxGiIWt6T6jhBwOsq+ur0hTW&#10;n+kNp11sBIdQKIyGNsahkDLULToTln5A4t2nH52J3I6NtKM5c7jrpUqSe+lMR3yhNQM+tVh/705O&#10;g+pXr9vnx/0dvm8+5m779UIHOWl9e5MmDyAizvECw58+q0PFTkd/IhtEr2GhMsWohizlykC+yjMQ&#10;Rx6oDGRVyv8fVL9QSwMEFAAAAAgAh07iQMLKcJL2AQAAwQMAAA4AAABkcnMvZTJvRG9jLnhtbK1T&#10;S47UMBDdI3EHy3s66Yj0NFGnZzGtZoOgJeAA1Y6TWPJPLk9/LsEFkNjBiiV7bsPMMSgnmRkYNrMg&#10;C6dsv3qu91xeXZ6MZgcZUDlb8/ks50xa4Rplu5p//LB9seQMI9gGtLOy5meJ/HL9/Nnq6CtZuN7p&#10;RgZGJBaro695H6OvsgxFLw3gzHlpabN1wUCkaeiyJsCR2I3OijxfZEcXGh+ckIi0uhk3+cQYnkLo&#10;2lYJuXHi2kgbR9YgNUSShL3yyNdDtW0rRXzXtigj0zUnpXEY6RCK92nM1iuougC+V2IqAZ5SwiNN&#10;BpSlQ++pNhCBXQf1D5VRIjh0bZwJZ7JRyOAIqZjnj7x534OXgxayGv296fj/aMXbwy4w1dS84MyC&#10;oQu/+fzj16evtz+/0Hjz/RsrkklHjxVhr+wuTDP0u5AUn9pg0p+0sBM1VL6YXxRk77nmZTlfzsvJ&#10;ZHmKTBCgXC7Kl69KzgQhlkVZJvrsgccHjK+lMywFNdfKJguggsMbjCP0DpKWrdsqrWkdKm3ZkXQs&#10;y4vEDtSbLfUEhcaTPrQdZ6A7anoRw0CJTqsmpadsDN3+Sgd2AGqV7Tanb6rsL1g6ewPYj7hhK8Gg&#10;MirSu9DKkKqUfJetLclL9o2GpWjvmvPg47BONzsYMHVhap0/50P2w8tb/wZ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0NDEz2QAAAAkBAAAPAAAAAAAAAAEAIAAAACIAAABkcnMvZG93bnJldi54bWxQ&#10;SwECFAAUAAAACACHTuJAwspwkvYBAADBAwAADgAAAAAAAAABACAAAAAoAQAAZHJzL2Uyb0RvYy54&#10;bWxQSwUGAAAAAAYABgBZAQAAkAUAAAAA&#10;">
                <v:fill on="f" focussize="0,0"/>
                <v:stroke weight="2.25pt" color="#FF0000 [3205]" miterlimit="8" joinstyle="miter"/>
                <v:imagedata o:title=""/>
                <o:lock v:ext="edit" aspectratio="f"/>
              </v:line>
            </w:pict>
          </mc:Fallback>
        </mc:AlternateContent>
      </w:r>
      <w:r>
        <w:rPr>
          <w:rFonts w:hint="eastAsia" w:ascii="楷体" w:hAnsi="楷体" w:eastAsia="楷体" w:cs="楷体"/>
          <w:color w:val="auto"/>
          <w:sz w:val="32"/>
          <w:szCs w:val="32"/>
          <w:u w:val="none"/>
          <w:lang w:val="en-US" w:eastAsia="zh-CN"/>
        </w:rPr>
        <w:t xml:space="preserve">主办：希望新城社区党委               </w:t>
      </w:r>
      <w:r>
        <w:rPr>
          <w:rFonts w:hint="eastAsia" w:ascii="Times New Roman" w:hAnsi="Times New Roman" w:eastAsia="方正仿宋简体" w:cs="Times New Roman"/>
          <w:sz w:val="28"/>
          <w:szCs w:val="28"/>
          <w:lang w:val="en-US" w:eastAsia="zh-CN"/>
        </w:rPr>
        <w:t>2026</w:t>
      </w:r>
      <w:r>
        <w:rPr>
          <w:rFonts w:hint="eastAsia" w:ascii="楷体" w:hAnsi="楷体" w:eastAsia="楷体" w:cs="楷体"/>
          <w:color w:val="auto"/>
          <w:sz w:val="32"/>
          <w:szCs w:val="32"/>
          <w:u w:val="none"/>
          <w:lang w:val="en-US" w:eastAsia="zh-CN"/>
        </w:rPr>
        <w:t>年</w:t>
      </w:r>
      <w:r>
        <w:rPr>
          <w:rFonts w:hint="eastAsia" w:ascii="Times New Roman" w:hAnsi="Times New Roman" w:eastAsia="方正仿宋简体" w:cs="Times New Roman"/>
          <w:sz w:val="28"/>
          <w:szCs w:val="28"/>
          <w:lang w:val="en-US" w:eastAsia="zh-CN"/>
        </w:rPr>
        <w:t>4</w:t>
      </w:r>
      <w:r>
        <w:rPr>
          <w:rFonts w:hint="eastAsia" w:ascii="楷体" w:hAnsi="楷体" w:eastAsia="楷体" w:cs="楷体"/>
          <w:color w:val="auto"/>
          <w:sz w:val="32"/>
          <w:szCs w:val="32"/>
          <w:u w:val="none"/>
          <w:lang w:val="en-US" w:eastAsia="zh-CN"/>
        </w:rPr>
        <w:t>月</w:t>
      </w:r>
      <w:r>
        <w:rPr>
          <w:rFonts w:hint="eastAsia" w:ascii="Times New Roman" w:hAnsi="Times New Roman" w:eastAsia="方正仿宋简体" w:cs="Times New Roman"/>
          <w:sz w:val="28"/>
          <w:szCs w:val="28"/>
          <w:lang w:val="en-US" w:eastAsia="zh-CN"/>
        </w:rPr>
        <w:t>14</w:t>
      </w:r>
      <w:r>
        <w:rPr>
          <w:rFonts w:hint="eastAsia" w:ascii="楷体" w:hAnsi="楷体" w:eastAsia="楷体" w:cs="楷体"/>
          <w:color w:val="auto"/>
          <w:sz w:val="32"/>
          <w:szCs w:val="32"/>
          <w:u w:val="none"/>
          <w:lang w:val="en-US" w:eastAsia="zh-CN"/>
        </w:rPr>
        <w:t>日</w:t>
      </w:r>
    </w:p>
    <w:p w14:paraId="5546E04D">
      <w:pPr>
        <w:spacing w:after="0" w:line="220" w:lineRule="atLeast"/>
        <w:jc w:val="center"/>
        <w:rPr>
          <w:rFonts w:hint="eastAsia" w:ascii="方正小标宋简体" w:hAnsi="方正小标宋简体" w:eastAsia="方正小标宋简体" w:cs="方正小标宋简体"/>
          <w:b/>
          <w:bCs/>
          <w:sz w:val="44"/>
          <w:szCs w:val="44"/>
          <w:lang w:eastAsia="zh-CN"/>
        </w:rPr>
      </w:pPr>
      <w:r>
        <w:rPr>
          <w:rFonts w:hint="eastAsia" w:ascii="方正小标宋简体" w:hAnsi="方正小标宋简体" w:eastAsia="方正小标宋简体" w:cs="方正小标宋简体"/>
          <w:b/>
          <w:bCs/>
          <w:sz w:val="44"/>
          <w:szCs w:val="44"/>
          <w:lang w:eastAsia="zh-CN"/>
        </w:rPr>
        <w:t>观看《一步不停歇 半步不退让</w:t>
      </w:r>
    </w:p>
    <w:p w14:paraId="6D686C45">
      <w:pPr>
        <w:spacing w:after="0" w:line="220" w:lineRule="atLeast"/>
        <w:jc w:val="center"/>
        <w:rPr>
          <w:rFonts w:hint="eastAsia" w:ascii="仿宋" w:hAnsi="仿宋" w:eastAsia="仿宋" w:cs="仿宋"/>
          <w:sz w:val="30"/>
          <w:szCs w:val="30"/>
          <w:lang w:val="en-US" w:eastAsia="zh-CN"/>
        </w:rPr>
      </w:pPr>
      <w:r>
        <w:rPr>
          <w:rFonts w:hint="eastAsia" w:ascii="方正小标宋简体" w:hAnsi="方正小标宋简体" w:eastAsia="方正小标宋简体" w:cs="方正小标宋简体"/>
          <w:b/>
          <w:bCs/>
          <w:sz w:val="44"/>
          <w:szCs w:val="44"/>
          <w:lang w:eastAsia="zh-CN"/>
        </w:rPr>
        <w:t>——纠风治乱为民》</w:t>
      </w:r>
    </w:p>
    <w:p w14:paraId="7B80DBB9">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为进一步强化基层党员干部廉洁自律意识，筑牢拒腐防变思想防线，切实纠治群众身边不正之风，</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32"/>
          <w:szCs w:val="32"/>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32"/>
          <w:szCs w:val="32"/>
          <w:lang w:val="en-US" w:eastAsia="zh-CN"/>
        </w:rPr>
        <w:t>月</w:t>
      </w:r>
      <w:r>
        <w:rPr>
          <w:rFonts w:hint="eastAsia" w:ascii="Times New Roman" w:hAnsi="Times New Roman" w:eastAsia="方正仿宋简体" w:cs="Times New Roman"/>
          <w:sz w:val="28"/>
          <w:szCs w:val="28"/>
          <w:lang w:val="en-US" w:eastAsia="zh-CN"/>
        </w:rPr>
        <w:t>14</w:t>
      </w:r>
      <w:r>
        <w:rPr>
          <w:rFonts w:hint="eastAsia" w:ascii="仿宋" w:hAnsi="仿宋" w:eastAsia="仿宋" w:cs="仿宋"/>
          <w:sz w:val="32"/>
          <w:szCs w:val="32"/>
          <w:lang w:val="en-US" w:eastAsia="zh-CN"/>
        </w:rPr>
        <w:t>日，希望新城社区组织观看廉政警示教育片《一步不停歇 半步不退让——纠风治乱为民》。</w:t>
      </w:r>
    </w:p>
    <w:p w14:paraId="2690CD42">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警示教育片是由中央纪委国家监委宣传部与中央广播电视总台联合摄制。聚焦风腐同查同治核心要求，深挖各类侵害群众利益的微腐败、作风问题典型案例，深刻剖析了少数基层干部初心失守、纪律松弛，从漠视群众诉求、违规履职到触碰纪法红线的蜕变过程，生动展现了纪检监察机关持之以恒纠风治乱、维护群众切身利益的坚定决心。</w:t>
      </w:r>
    </w:p>
    <w:p w14:paraId="1E75ADE0">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观影过程中，全体人员神情专注、认真思考，沉浸式感受正风肃纪反腐的坚定力度与鲜明导向。结束后，也纷纷表示此次警示教育是一次深刻的思想洗礼。社区作为服务群众的前沿阵地，直接关系群众切身利益，今后将以案例为镜鉴，时刻绷紧纪律规矩这根弦，严守廉洁自律底线，坚决杜绝推诿扯皮、优亲厚友等不良作风。。</w:t>
      </w:r>
    </w:p>
    <w:p w14:paraId="21D7EAC7">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下一步，希望新城社区将以此次警示教育为契机，持续加强廉政教育和作风建设，把警示教育成果转化为履职实效，立足岗位扎实做好民生服务、基层治理等工作。</w:t>
      </w:r>
    </w:p>
    <w:p w14:paraId="7C73FFA7">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【影像资料】</w:t>
      </w:r>
    </w:p>
    <w:p w14:paraId="6EA1FE55">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33670" cy="3924935"/>
            <wp:effectExtent l="0" t="0" r="8890" b="6985"/>
            <wp:docPr id="1" name="图片 1" descr="629599a4eb72a494ba772040e8b4ae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629599a4eb72a494ba772040e8b4ae88"/>
                    <pic:cNvPicPr>
                      <a:picLocks noChangeAspect="1"/>
                    </pic:cNvPicPr>
                  </pic:nvPicPr>
                  <pic:blipFill>
                    <a:blip r:embed="rId5"/>
                    <a:stretch>
                      <a:fillRect/>
                    </a:stretch>
                  </pic:blipFill>
                  <pic:spPr>
                    <a:xfrm>
                      <a:off x="0" y="0"/>
                      <a:ext cx="5233670" cy="3924935"/>
                    </a:xfrm>
                    <a:prstGeom prst="rect">
                      <a:avLst/>
                    </a:prstGeom>
                  </pic:spPr>
                </pic:pic>
              </a:graphicData>
            </a:graphic>
          </wp:inline>
        </w:drawing>
      </w:r>
    </w:p>
    <w:p w14:paraId="69E8EFE7">
      <w:pPr>
        <w:rPr>
          <w:rFonts w:hint="eastAsia" w:ascii="方正楷体_GB2312" w:hAnsi="方正楷体_GB2312" w:eastAsia="方正楷体_GB2312" w:cs="方正楷体_GB2312"/>
          <w:sz w:val="24"/>
          <w:szCs w:val="24"/>
          <w:lang w:eastAsia="zh-CN"/>
        </w:rPr>
      </w:pPr>
      <w:r>
        <w:rPr>
          <w:rFonts w:hint="eastAsia" w:ascii="仿宋" w:hAnsi="仿宋" w:eastAsia="仿宋" w:cs="仿宋"/>
          <w:sz w:val="28"/>
          <w:szCs w:val="28"/>
          <w:lang w:val="en-US" w:eastAsia="zh-CN"/>
        </w:rPr>
        <w:t>图一：</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14</w:t>
      </w:r>
      <w:r>
        <w:rPr>
          <w:rFonts w:hint="eastAsia" w:ascii="仿宋" w:hAnsi="仿宋" w:eastAsia="仿宋" w:cs="仿宋"/>
          <w:sz w:val="28"/>
          <w:szCs w:val="28"/>
          <w:lang w:val="en-US" w:eastAsia="zh-CN"/>
        </w:rPr>
        <w:t>日观看警示教育片</w:t>
      </w:r>
    </w:p>
    <w:p w14:paraId="4A903010">
      <w:pPr>
        <w:rPr>
          <w:rFonts w:hint="eastAsia" w:ascii="仿宋" w:hAnsi="仿宋" w:eastAsia="仿宋" w:cs="仿宋"/>
          <w:sz w:val="32"/>
          <w:szCs w:val="32"/>
          <w:lang w:eastAsia="zh-CN"/>
        </w:rPr>
      </w:pPr>
      <w:r>
        <w:rPr>
          <w:rFonts w:hint="eastAsia" w:ascii="仿宋" w:hAnsi="仿宋" w:eastAsia="仿宋" w:cs="仿宋"/>
          <w:sz w:val="32"/>
          <w:szCs w:val="32"/>
          <w:lang w:eastAsia="zh-CN"/>
        </w:rPr>
        <w:drawing>
          <wp:inline distT="0" distB="0" distL="114300" distR="114300">
            <wp:extent cx="5233670" cy="3924935"/>
            <wp:effectExtent l="0" t="0" r="8890" b="6985"/>
            <wp:docPr id="3" name="图片 3" descr="4a3cf1d6f81a547647565963841f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4a3cf1d6f81a547647565963841f3499"/>
                    <pic:cNvPicPr>
                      <a:picLocks noChangeAspect="1"/>
                    </pic:cNvPicPr>
                  </pic:nvPicPr>
                  <pic:blipFill>
                    <a:blip r:embed="rId6"/>
                    <a:stretch>
                      <a:fillRect/>
                    </a:stretch>
                  </pic:blipFill>
                  <pic:spPr>
                    <a:xfrm>
                      <a:off x="0" y="0"/>
                      <a:ext cx="5233670" cy="3924935"/>
                    </a:xfrm>
                    <a:prstGeom prst="rect">
                      <a:avLst/>
                    </a:prstGeom>
                  </pic:spPr>
                </pic:pic>
              </a:graphicData>
            </a:graphic>
          </wp:inline>
        </w:drawing>
      </w:r>
    </w:p>
    <w:p w14:paraId="2482DD45">
      <w:pPr>
        <w:rPr>
          <w:rFonts w:hint="eastAsia" w:ascii="仿宋" w:hAnsi="仿宋" w:eastAsia="仿宋" w:cs="仿宋"/>
          <w:sz w:val="32"/>
          <w:szCs w:val="32"/>
          <w:lang w:eastAsia="zh-CN"/>
        </w:rPr>
      </w:pPr>
      <w:r>
        <w:rPr>
          <w:rFonts w:hint="eastAsia" w:ascii="仿宋" w:hAnsi="仿宋" w:eastAsia="仿宋" w:cs="仿宋"/>
          <w:sz w:val="28"/>
          <w:szCs w:val="28"/>
          <w:lang w:val="en-US" w:eastAsia="zh-CN"/>
        </w:rPr>
        <w:t>图二：</w:t>
      </w:r>
      <w:r>
        <w:rPr>
          <w:rFonts w:hint="eastAsia" w:ascii="Times New Roman" w:hAnsi="Times New Roman" w:eastAsia="方正仿宋简体" w:cs="Times New Roman"/>
          <w:sz w:val="28"/>
          <w:szCs w:val="28"/>
          <w:lang w:val="en-US" w:eastAsia="zh-CN"/>
        </w:rPr>
        <w:t>2026</w:t>
      </w:r>
      <w:r>
        <w:rPr>
          <w:rFonts w:hint="eastAsia" w:ascii="仿宋" w:hAnsi="仿宋" w:eastAsia="仿宋" w:cs="仿宋"/>
          <w:sz w:val="28"/>
          <w:szCs w:val="28"/>
          <w:lang w:val="en-US" w:eastAsia="zh-CN"/>
        </w:rPr>
        <w:t>年</w:t>
      </w:r>
      <w:r>
        <w:rPr>
          <w:rFonts w:hint="eastAsia" w:ascii="Times New Roman" w:hAnsi="Times New Roman" w:eastAsia="方正仿宋简体" w:cs="Times New Roman"/>
          <w:sz w:val="28"/>
          <w:szCs w:val="28"/>
          <w:lang w:val="en-US" w:eastAsia="zh-CN"/>
        </w:rPr>
        <w:t>4</w:t>
      </w:r>
      <w:r>
        <w:rPr>
          <w:rFonts w:hint="eastAsia" w:ascii="仿宋" w:hAnsi="仿宋" w:eastAsia="仿宋" w:cs="仿宋"/>
          <w:sz w:val="28"/>
          <w:szCs w:val="28"/>
          <w:lang w:val="en-US" w:eastAsia="zh-CN"/>
        </w:rPr>
        <w:t>月</w:t>
      </w:r>
      <w:r>
        <w:rPr>
          <w:rFonts w:hint="eastAsia" w:ascii="Times New Roman" w:hAnsi="Times New Roman" w:eastAsia="方正仿宋简体" w:cs="Times New Roman"/>
          <w:sz w:val="28"/>
          <w:szCs w:val="28"/>
          <w:lang w:val="en-US" w:eastAsia="zh-CN"/>
        </w:rPr>
        <w:t>14</w:t>
      </w:r>
      <w:r>
        <w:rPr>
          <w:rFonts w:hint="eastAsia" w:ascii="仿宋" w:hAnsi="仿宋" w:eastAsia="仿宋" w:cs="仿宋"/>
          <w:sz w:val="28"/>
          <w:szCs w:val="28"/>
          <w:lang w:val="en-US" w:eastAsia="zh-CN"/>
        </w:rPr>
        <w:t>日观</w:t>
      </w:r>
      <w:bookmarkStart w:id="0" w:name="_GoBack"/>
      <w:bookmarkEnd w:id="0"/>
      <w:r>
        <w:rPr>
          <w:rFonts w:hint="eastAsia" w:ascii="仿宋" w:hAnsi="仿宋" w:eastAsia="仿宋" w:cs="仿宋"/>
          <w:sz w:val="28"/>
          <w:szCs w:val="28"/>
          <w:lang w:val="en-US" w:eastAsia="zh-CN"/>
        </w:rPr>
        <w:t>看警示教育片</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altName w:val="微软雅黑"/>
    <w:panose1 w:val="02010509060101010101"/>
    <w:charset w:val="86"/>
    <w:family w:val="auto"/>
    <w:pitch w:val="default"/>
    <w:sig w:usb0="00000000" w:usb1="00000000" w:usb2="00000000" w:usb3="00000000" w:csb0="00040000" w:csb1="00000000"/>
    <w:embedRegular r:id="rId1" w:fontKey="{2540E16D-A1F7-4DDE-8D40-58E26181ED95}"/>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embedRegular r:id="rId2" w:fontKey="{E904B219-1425-47B4-8985-4EA0FF2B29EB}"/>
  </w:font>
  <w:font w:name="方正仿宋简体">
    <w:panose1 w:val="03000509000000000000"/>
    <w:charset w:val="86"/>
    <w:family w:val="auto"/>
    <w:pitch w:val="default"/>
    <w:sig w:usb0="00000001" w:usb1="080E0000" w:usb2="00000000" w:usb3="00000000" w:csb0="00040000" w:csb1="00000000"/>
    <w:embedRegular r:id="rId3" w:fontKey="{DA2B1630-EEC3-4853-9F5D-A37C0CD4B2DD}"/>
  </w:font>
  <w:font w:name="方正小标宋简体">
    <w:panose1 w:val="03000509000000000000"/>
    <w:charset w:val="86"/>
    <w:family w:val="auto"/>
    <w:pitch w:val="default"/>
    <w:sig w:usb0="00000001" w:usb1="080E0000" w:usb2="00000000" w:usb3="00000000" w:csb0="00040000" w:csb1="00000000"/>
    <w:embedRegular r:id="rId4" w:fontKey="{6A38DD36-D859-4513-8ED5-88DBB5F1F49C}"/>
  </w:font>
  <w:font w:name="仿宋">
    <w:panose1 w:val="02010609060101010101"/>
    <w:charset w:val="86"/>
    <w:family w:val="auto"/>
    <w:pitch w:val="default"/>
    <w:sig w:usb0="800002BF" w:usb1="38CF7CFA" w:usb2="00000016" w:usb3="00000000" w:csb0="00040001" w:csb1="00000000"/>
    <w:embedRegular r:id="rId5" w:fontKey="{CF6D59BF-7EBA-4583-B98D-50FE4DBD3E59}"/>
  </w:font>
  <w:font w:name="方正楷体_GB2312">
    <w:panose1 w:val="02000000000000000000"/>
    <w:charset w:val="86"/>
    <w:family w:val="auto"/>
    <w:pitch w:val="default"/>
    <w:sig w:usb0="A00002BF" w:usb1="184F6CFA" w:usb2="00000012" w:usb3="00000000" w:csb0="00040001" w:csb1="00000000"/>
    <w:embedRegular r:id="rId6" w:fontKey="{59E6B506-56DF-4E22-B9A1-9B6E0C99B5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5"/>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9C3694"/>
    <w:rsid w:val="07D951F4"/>
    <w:rsid w:val="08484479"/>
    <w:rsid w:val="15E60560"/>
    <w:rsid w:val="20FF5CE1"/>
    <w:rsid w:val="219F5407"/>
    <w:rsid w:val="2605397A"/>
    <w:rsid w:val="2CE007C0"/>
    <w:rsid w:val="30C52754"/>
    <w:rsid w:val="41CC2B7F"/>
    <w:rsid w:val="448F5A7B"/>
    <w:rsid w:val="45196D52"/>
    <w:rsid w:val="45DA1DAC"/>
    <w:rsid w:val="504612CE"/>
    <w:rsid w:val="65DF197C"/>
    <w:rsid w:val="6BD12BF8"/>
    <w:rsid w:val="707C258C"/>
    <w:rsid w:val="7890353C"/>
    <w:rsid w:val="7A604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553</Words>
  <Characters>569</Characters>
  <Lines>0</Lines>
  <Paragraphs>0</Paragraphs>
  <TotalTime>15</TotalTime>
  <ScaleCrop>false</ScaleCrop>
  <LinksUpToDate>false</LinksUpToDate>
  <CharactersWithSpaces>586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2025-01-15T02:04:00Z</dcterms:created>
  <dc:creator>Administrator</dc:creator>
  <cp:lastModifiedBy>李树程</cp:lastModifiedBy>
  <dcterms:modified xsi:type="dcterms:W3CDTF">2026-05-09T03:58:50Z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eyJoZGlkIjoiODcxMDMxODg5NjAzODM1YjIzZjRkY2QxZWU4OTVkNGMiLCJ1c2VySWQiOiI5OTE5ODM0NTkifQ==</vt:lpwstr>
  </property>
  <property fmtid="{D5CDD505-2E9C-101B-9397-08002B2CF9AE}" pid="4" name="ICV">
    <vt:lpwstr>436EDEF26986436DA601EF7AB348970A_12</vt:lpwstr>
  </property>
</Properties>
</file>