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A007E2">
      <w:pPr>
        <w:rPr>
          <w:rFonts w:hint="eastAsia" w:eastAsiaTheme="minorEastAsia"/>
          <w:lang w:eastAsia="zh-CN"/>
        </w:rPr>
      </w:pPr>
      <w:r>
        <w:rPr>
          <w:rFonts w:hint="eastAsia" w:eastAsiaTheme="minorEastAsia"/>
          <w:lang w:eastAsia="zh-CN"/>
        </w:rPr>
        <w:drawing>
          <wp:inline distT="0" distB="0" distL="114300" distR="114300">
            <wp:extent cx="1308735" cy="978535"/>
            <wp:effectExtent l="0" t="0" r="1905" b="12065"/>
            <wp:docPr id="8" name="图片 8" descr="19817bb88219ba605d8131b96500a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19817bb88219ba605d8131b96500aea"/>
                    <pic:cNvPicPr>
                      <a:picLocks noChangeAspect="1"/>
                    </pic:cNvPicPr>
                  </pic:nvPicPr>
                  <pic:blipFill>
                    <a:blip r:embed="rId4"/>
                    <a:stretch>
                      <a:fillRect/>
                    </a:stretch>
                  </pic:blipFill>
                  <pic:spPr>
                    <a:xfrm>
                      <a:off x="0" y="0"/>
                      <a:ext cx="1308735" cy="978535"/>
                    </a:xfrm>
                    <a:prstGeom prst="rect">
                      <a:avLst/>
                    </a:prstGeom>
                  </pic:spPr>
                </pic:pic>
              </a:graphicData>
            </a:graphic>
          </wp:inline>
        </w:drawing>
      </w:r>
    </w:p>
    <w:p w14:paraId="5174D0B2">
      <w:pPr>
        <w:jc w:val="center"/>
        <w:rPr>
          <w:rFonts w:hint="eastAsia" w:ascii="隶书" w:hAnsi="隶书" w:eastAsia="隶书" w:cs="隶书"/>
          <w:color w:val="FF0000"/>
          <w:sz w:val="52"/>
          <w:szCs w:val="52"/>
          <w:lang w:eastAsia="zh-CN"/>
        </w:rPr>
      </w:pPr>
      <w:r>
        <w:rPr>
          <w:rFonts w:hint="eastAsia" w:ascii="隶书" w:hAnsi="隶书" w:eastAsia="隶书" w:cs="隶书"/>
          <w:color w:val="FF0000"/>
          <w:sz w:val="52"/>
          <w:szCs w:val="52"/>
          <w:lang w:eastAsia="zh-CN"/>
        </w:rPr>
        <w:t>通辽经济技术开发区</w:t>
      </w:r>
    </w:p>
    <w:p w14:paraId="494B0A9D">
      <w:pPr>
        <w:jc w:val="center"/>
        <w:rPr>
          <w:rFonts w:hint="eastAsia" w:ascii="隶书" w:hAnsi="隶书" w:eastAsia="隶书" w:cs="隶书"/>
          <w:color w:val="FF0000"/>
          <w:sz w:val="52"/>
          <w:szCs w:val="52"/>
          <w:lang w:val="en-US" w:eastAsia="zh-CN"/>
        </w:rPr>
      </w:pPr>
      <w:r>
        <w:rPr>
          <w:rFonts w:hint="eastAsia" w:ascii="隶书" w:hAnsi="隶书" w:eastAsia="隶书" w:cs="隶书"/>
          <w:color w:val="FF0000"/>
          <w:sz w:val="52"/>
          <w:szCs w:val="52"/>
          <w:lang w:eastAsia="zh-CN"/>
        </w:rPr>
        <w:t>新城街道希望新城社区</w:t>
      </w:r>
      <w:r>
        <w:rPr>
          <w:rFonts w:hint="eastAsia" w:ascii="隶书" w:hAnsi="隶书" w:eastAsia="隶书" w:cs="隶书"/>
          <w:color w:val="FF0000"/>
          <w:sz w:val="52"/>
          <w:szCs w:val="52"/>
          <w:lang w:val="en-US" w:eastAsia="zh-CN"/>
        </w:rPr>
        <w:t>工作简报</w:t>
      </w:r>
    </w:p>
    <w:p w14:paraId="4391181A">
      <w:pPr>
        <w:jc w:val="center"/>
        <w:rPr>
          <w:rFonts w:hint="eastAsia" w:ascii="隶书" w:hAnsi="隶书" w:eastAsia="隶书" w:cs="隶书"/>
          <w:color w:val="FF0000"/>
          <w:sz w:val="52"/>
          <w:szCs w:val="52"/>
          <w:lang w:val="en-US" w:eastAsia="zh-CN"/>
        </w:rPr>
      </w:pPr>
    </w:p>
    <w:p w14:paraId="31F501D2">
      <w:pPr>
        <w:jc w:val="center"/>
        <w:rPr>
          <w:rFonts w:hint="eastAsia" w:ascii="仿宋" w:hAnsi="仿宋" w:eastAsia="仿宋" w:cs="仿宋"/>
          <w:b/>
          <w:bCs/>
          <w:sz w:val="44"/>
          <w:szCs w:val="44"/>
          <w:lang w:eastAsia="zh-CN"/>
        </w:rPr>
      </w:pPr>
      <w:r>
        <w:rPr>
          <w:sz w:val="32"/>
        </w:rPr>
        <mc:AlternateContent>
          <mc:Choice Requires="wps">
            <w:drawing>
              <wp:anchor distT="0" distB="0" distL="114300" distR="114300" simplePos="0" relativeHeight="251659264" behindDoc="0" locked="0" layoutInCell="1" allowOverlap="1">
                <wp:simplePos x="0" y="0"/>
                <wp:positionH relativeFrom="column">
                  <wp:posOffset>-160020</wp:posOffset>
                </wp:positionH>
                <wp:positionV relativeFrom="paragraph">
                  <wp:posOffset>325120</wp:posOffset>
                </wp:positionV>
                <wp:extent cx="5865495" cy="8255"/>
                <wp:effectExtent l="0" t="13970" r="1905" b="23495"/>
                <wp:wrapNone/>
                <wp:docPr id="9" name="直接连接符 9"/>
                <wp:cNvGraphicFramePr/>
                <a:graphic xmlns:a="http://schemas.openxmlformats.org/drawingml/2006/main">
                  <a:graphicData uri="http://schemas.microsoft.com/office/word/2010/wordprocessingShape">
                    <wps:wsp>
                      <wps:cNvCnPr/>
                      <wps:spPr>
                        <a:xfrm>
                          <a:off x="1061720" y="5518150"/>
                          <a:ext cx="5865495" cy="8255"/>
                        </a:xfrm>
                        <a:prstGeom prst="line">
                          <a:avLst/>
                        </a:prstGeom>
                        <a:ln w="28575">
                          <a:solidFill>
                            <a:srgbClr val="FF0000"/>
                          </a:solidFill>
                        </a:ln>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id="_x0000_s1026" o:spid="_x0000_s1026" o:spt="20" style="position:absolute;left:0pt;margin-left:-12.6pt;margin-top:25.6pt;height:0.65pt;width:461.85pt;z-index:251659264;mso-width-relative:page;mso-height-relative:page;" filled="f" stroked="t" coordsize="21600,21600" o:gfxdata="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9DQxM9kAAAAJAQAADwAAAAAAAAABACAAAAAiAAAAZHJzL2Rvd25yZXYueG1s&#10;UEsBAhQAFAAAAAgAh07iQLovpvf3AQAAwQMAAA4AAAAAAAAAAQAgAAAAKAEAAGRycy9lMm9Eb2Mu&#10;eG1sUEsFBgAAAAAGAAYAWQEAAJEFAAAAAA==&#10;">
                <v:fill on="f" focussize="0,0"/>
                <v:stroke weight="2.25pt" color="#FF0000 [3205]" miterlimit="8" joinstyle="miter"/>
                <v:imagedata o:title=""/>
                <o:lock v:ext="edit" aspectratio="f"/>
              </v:line>
            </w:pict>
          </mc:Fallback>
        </mc:AlternateContent>
      </w:r>
      <w:r>
        <w:rPr>
          <w:rFonts w:hint="eastAsia" w:ascii="楷体" w:hAnsi="楷体" w:eastAsia="楷体" w:cs="楷体"/>
          <w:color w:val="auto"/>
          <w:sz w:val="32"/>
          <w:szCs w:val="32"/>
          <w:u w:val="none"/>
          <w:lang w:val="en-US" w:eastAsia="zh-CN"/>
        </w:rPr>
        <w:t>主办：希望新城社区党委              2026年4月30日</w:t>
      </w:r>
    </w:p>
    <w:p w14:paraId="3A3D37A8">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方正小标宋简体" w:hAnsi="方正小标宋简体" w:eastAsia="方正小标宋简体" w:cs="方正小标宋简体"/>
          <w:b/>
          <w:bCs/>
          <w:sz w:val="44"/>
          <w:szCs w:val="44"/>
          <w:lang w:val="en-US" w:eastAsia="zh-CN"/>
        </w:rPr>
      </w:pPr>
      <w:r>
        <w:rPr>
          <w:rFonts w:hint="eastAsia" w:ascii="方正小标宋简体" w:hAnsi="方正小标宋简体" w:eastAsia="方正小标宋简体" w:cs="方正小标宋简体"/>
          <w:b/>
          <w:bCs/>
          <w:sz w:val="44"/>
          <w:szCs w:val="44"/>
          <w:lang w:val="en-US" w:eastAsia="zh-CN"/>
        </w:rPr>
        <w:t>学习《</w:t>
      </w:r>
      <w:bookmarkStart w:id="0" w:name="_GoBack"/>
      <w:r>
        <w:rPr>
          <w:rFonts w:hint="eastAsia" w:ascii="方正小标宋简体" w:hAnsi="方正小标宋简体" w:eastAsia="方正小标宋简体" w:cs="方正小标宋简体"/>
          <w:b/>
          <w:bCs/>
          <w:sz w:val="44"/>
          <w:szCs w:val="44"/>
          <w:lang w:val="en-US" w:eastAsia="zh-CN"/>
        </w:rPr>
        <w:t>习近平主持二十届中共中央政治局第二十五次集体学习并发表重要讲话</w:t>
      </w:r>
      <w:bookmarkEnd w:id="0"/>
      <w:r>
        <w:rPr>
          <w:rFonts w:hint="eastAsia" w:ascii="方正小标宋简体" w:hAnsi="方正小标宋简体" w:eastAsia="方正小标宋简体" w:cs="方正小标宋简体"/>
          <w:b/>
          <w:bCs/>
          <w:sz w:val="44"/>
          <w:szCs w:val="44"/>
          <w:lang w:val="en-US" w:eastAsia="zh-CN"/>
        </w:rPr>
        <w:t>》</w:t>
      </w:r>
    </w:p>
    <w:p w14:paraId="79ADB6C8">
      <w:pPr>
        <w:ind w:firstLine="640" w:firstLineChars="200"/>
        <w:rPr>
          <w:rFonts w:hint="eastAsia" w:ascii="仿宋" w:hAnsi="仿宋" w:eastAsia="仿宋" w:cs="仿宋"/>
          <w:sz w:val="32"/>
          <w:szCs w:val="32"/>
        </w:rPr>
      </w:pPr>
      <w:r>
        <w:rPr>
          <w:rFonts w:hint="eastAsia" w:ascii="仿宋" w:hAnsi="仿宋" w:eastAsia="仿宋" w:cs="仿宋"/>
          <w:sz w:val="32"/>
          <w:szCs w:val="32"/>
        </w:rPr>
        <w:t>为深入学习贯彻习近平总书记在二十届中共中央政治局第二十五次集体学习时的重要讲话精神，切实把思想和行动统一到党中央关于防灾减灾救灾工作的决策部署上来，</w:t>
      </w:r>
      <w:r>
        <w:rPr>
          <w:rFonts w:hint="eastAsia" w:ascii="仿宋" w:hAnsi="仿宋" w:eastAsia="仿宋" w:cs="仿宋"/>
          <w:sz w:val="32"/>
          <w:szCs w:val="32"/>
          <w:lang w:val="en-US" w:eastAsia="zh-CN"/>
        </w:rPr>
        <w:t>2026年4月30日</w:t>
      </w:r>
      <w:r>
        <w:rPr>
          <w:rFonts w:hint="eastAsia" w:ascii="仿宋" w:hAnsi="仿宋" w:eastAsia="仿宋" w:cs="仿宋"/>
          <w:sz w:val="32"/>
          <w:szCs w:val="32"/>
        </w:rPr>
        <w:t>，</w:t>
      </w:r>
      <w:r>
        <w:rPr>
          <w:rFonts w:hint="eastAsia" w:ascii="仿宋" w:hAnsi="仿宋" w:eastAsia="仿宋" w:cs="仿宋"/>
          <w:sz w:val="32"/>
          <w:szCs w:val="32"/>
          <w:lang w:eastAsia="zh-CN"/>
        </w:rPr>
        <w:t>希望新城</w:t>
      </w:r>
      <w:r>
        <w:rPr>
          <w:rFonts w:hint="eastAsia" w:ascii="仿宋" w:hAnsi="仿宋" w:eastAsia="仿宋" w:cs="仿宋"/>
          <w:sz w:val="32"/>
          <w:szCs w:val="32"/>
        </w:rPr>
        <w:t>社区组织</w:t>
      </w:r>
      <w:r>
        <w:rPr>
          <w:rFonts w:hint="eastAsia" w:ascii="仿宋" w:hAnsi="仿宋" w:eastAsia="仿宋" w:cs="仿宋"/>
          <w:sz w:val="32"/>
          <w:szCs w:val="32"/>
          <w:lang w:eastAsia="zh-CN"/>
        </w:rPr>
        <w:t>开展《习近平主持二十届中共中央政治局第二十五次集体学习并发表重要讲话》的专题学习会</w:t>
      </w:r>
      <w:r>
        <w:rPr>
          <w:rFonts w:hint="eastAsia" w:ascii="仿宋" w:hAnsi="仿宋" w:eastAsia="仿宋" w:cs="仿宋"/>
          <w:sz w:val="32"/>
          <w:szCs w:val="32"/>
        </w:rPr>
        <w:t>。</w:t>
      </w:r>
    </w:p>
    <w:p w14:paraId="61FCEC4F">
      <w:pPr>
        <w:ind w:firstLine="640" w:firstLineChars="200"/>
        <w:rPr>
          <w:rFonts w:hint="eastAsia" w:ascii="仿宋" w:hAnsi="仿宋" w:eastAsia="仿宋" w:cs="仿宋"/>
          <w:sz w:val="32"/>
          <w:szCs w:val="32"/>
        </w:rPr>
      </w:pPr>
      <w:r>
        <w:rPr>
          <w:rFonts w:hint="eastAsia" w:ascii="仿宋" w:hAnsi="仿宋" w:eastAsia="仿宋" w:cs="仿宋"/>
          <w:sz w:val="32"/>
          <w:szCs w:val="32"/>
        </w:rPr>
        <w:t>会上，社区</w:t>
      </w:r>
      <w:r>
        <w:rPr>
          <w:rFonts w:hint="eastAsia" w:ascii="仿宋" w:hAnsi="仿宋" w:eastAsia="仿宋" w:cs="仿宋"/>
          <w:sz w:val="32"/>
          <w:szCs w:val="32"/>
          <w:lang w:eastAsia="zh-CN"/>
        </w:rPr>
        <w:t>党委副书记王艳朝带领大家学习了习近平总书记重要讲话原文。总书记强调，要站在统筹高质量发展和高水平安全的战略高度，着力提高防范应对自然灾害能力，切实维护人民群众生命财产安全。会议指出，基层是抵御自然灾害的第一线，社区作为服务群众的“最后一公里”，必须深刻认识防灾减灾救灾工作的重要性，树牢底线思维、极限思维，把“人民至上、生命至上”理念贯穿工作全过程</w:t>
      </w:r>
      <w:r>
        <w:rPr>
          <w:rFonts w:hint="eastAsia" w:ascii="仿宋" w:hAnsi="仿宋" w:eastAsia="仿宋" w:cs="仿宋"/>
          <w:sz w:val="32"/>
          <w:szCs w:val="32"/>
        </w:rPr>
        <w:t>。</w:t>
      </w:r>
    </w:p>
    <w:p w14:paraId="01A6EA9F">
      <w:pPr>
        <w:ind w:firstLine="640" w:firstLineChars="200"/>
        <w:rPr>
          <w:rFonts w:hint="eastAsia" w:ascii="仿宋" w:hAnsi="仿宋" w:eastAsia="仿宋" w:cs="仿宋"/>
          <w:sz w:val="32"/>
          <w:szCs w:val="32"/>
        </w:rPr>
      </w:pPr>
      <w:r>
        <w:rPr>
          <w:rFonts w:hint="eastAsia" w:ascii="仿宋" w:hAnsi="仿宋" w:eastAsia="仿宋" w:cs="仿宋"/>
          <w:sz w:val="32"/>
          <w:szCs w:val="32"/>
          <w:lang w:eastAsia="zh-CN"/>
        </w:rPr>
        <w:t>会议最后，</w:t>
      </w:r>
      <w:r>
        <w:rPr>
          <w:rFonts w:hint="eastAsia" w:ascii="仿宋" w:hAnsi="仿宋" w:eastAsia="仿宋" w:cs="仿宋"/>
          <w:sz w:val="32"/>
          <w:szCs w:val="32"/>
        </w:rPr>
        <w:t>大家一致认为，总书记的重要讲话高屋建瓴、内涵丰富，为基层做好防灾减灾工作提供了根本遵循。下一步，</w:t>
      </w:r>
      <w:r>
        <w:rPr>
          <w:rFonts w:hint="eastAsia" w:ascii="仿宋" w:hAnsi="仿宋" w:eastAsia="仿宋" w:cs="仿宋"/>
          <w:sz w:val="32"/>
          <w:szCs w:val="32"/>
          <w:lang w:eastAsia="zh-CN"/>
        </w:rPr>
        <w:t>希望新城</w:t>
      </w:r>
      <w:r>
        <w:rPr>
          <w:rFonts w:hint="eastAsia" w:ascii="仿宋" w:hAnsi="仿宋" w:eastAsia="仿宋" w:cs="仿宋"/>
          <w:sz w:val="32"/>
          <w:szCs w:val="32"/>
        </w:rPr>
        <w:t>社区将以此次学习为契机，持续深化讲话精神学习贯彻，把防灾减灾救灾工作融入基层治理各环节，以更实举措、更硬作风守牢安全底线，全力保障辖区居民生命财产安全，建设平安和谐幸福社区。</w:t>
      </w:r>
    </w:p>
    <w:p w14:paraId="08DC1B72">
      <w:pPr>
        <w:ind w:firstLine="640" w:firstLineChars="200"/>
        <w:rPr>
          <w:rFonts w:hint="eastAsia" w:ascii="仿宋" w:hAnsi="仿宋" w:eastAsia="仿宋" w:cs="仿宋"/>
          <w:sz w:val="32"/>
          <w:szCs w:val="32"/>
          <w:lang w:eastAsia="zh-CN"/>
        </w:rPr>
      </w:pPr>
    </w:p>
    <w:p w14:paraId="7C73FFA7">
      <w:pPr>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【影像资料】</w:t>
      </w:r>
    </w:p>
    <w:p w14:paraId="4B3632AA">
      <w:pPr>
        <w:jc w:val="both"/>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drawing>
          <wp:inline distT="0" distB="0" distL="114300" distR="114300">
            <wp:extent cx="5233670" cy="3924935"/>
            <wp:effectExtent l="0" t="0" r="8890" b="6985"/>
            <wp:docPr id="1" name="图片 1" descr="8cb351f3091b2e9b4110604e2787cd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8cb351f3091b2e9b4110604e2787cd82"/>
                    <pic:cNvPicPr>
                      <a:picLocks noChangeAspect="1"/>
                    </pic:cNvPicPr>
                  </pic:nvPicPr>
                  <pic:blipFill>
                    <a:blip r:embed="rId5"/>
                    <a:stretch>
                      <a:fillRect/>
                    </a:stretch>
                  </pic:blipFill>
                  <pic:spPr>
                    <a:xfrm>
                      <a:off x="0" y="0"/>
                      <a:ext cx="5233670" cy="3924935"/>
                    </a:xfrm>
                    <a:prstGeom prst="rect">
                      <a:avLst/>
                    </a:prstGeom>
                  </pic:spPr>
                </pic:pic>
              </a:graphicData>
            </a:graphic>
          </wp:inline>
        </w:drawing>
      </w:r>
    </w:p>
    <w:p w14:paraId="69E8EFE7">
      <w:pPr>
        <w:rPr>
          <w:rFonts w:hint="eastAsia" w:ascii="方正楷体_GB2312" w:hAnsi="方正楷体_GB2312" w:eastAsia="方正楷体_GB2312" w:cs="方正楷体_GB2312"/>
          <w:sz w:val="24"/>
          <w:szCs w:val="24"/>
          <w:lang w:eastAsia="zh-CN"/>
        </w:rPr>
      </w:pPr>
      <w:r>
        <w:rPr>
          <w:rFonts w:hint="eastAsia" w:ascii="仿宋" w:hAnsi="仿宋" w:eastAsia="仿宋" w:cs="仿宋"/>
          <w:sz w:val="28"/>
          <w:szCs w:val="28"/>
          <w:lang w:val="en-US" w:eastAsia="zh-CN"/>
        </w:rPr>
        <w:t>图一：</w:t>
      </w:r>
      <w:r>
        <w:rPr>
          <w:rFonts w:hint="eastAsia" w:ascii="Times New Roman" w:hAnsi="Times New Roman" w:eastAsia="方正仿宋简体" w:cs="Times New Roman"/>
          <w:sz w:val="28"/>
          <w:szCs w:val="28"/>
          <w:lang w:val="en-US" w:eastAsia="zh-CN"/>
        </w:rPr>
        <w:t>2026</w:t>
      </w:r>
      <w:r>
        <w:rPr>
          <w:rFonts w:hint="eastAsia" w:ascii="仿宋" w:hAnsi="仿宋" w:eastAsia="仿宋" w:cs="仿宋"/>
          <w:sz w:val="28"/>
          <w:szCs w:val="28"/>
          <w:lang w:val="en-US" w:eastAsia="zh-CN"/>
        </w:rPr>
        <w:t>年</w:t>
      </w:r>
      <w:r>
        <w:rPr>
          <w:rFonts w:hint="eastAsia" w:ascii="Times New Roman" w:hAnsi="Times New Roman" w:eastAsia="方正仿宋简体" w:cs="Times New Roman"/>
          <w:sz w:val="28"/>
          <w:szCs w:val="28"/>
          <w:lang w:val="en-US" w:eastAsia="zh-CN"/>
        </w:rPr>
        <w:t>4</w:t>
      </w:r>
      <w:r>
        <w:rPr>
          <w:rFonts w:hint="eastAsia" w:ascii="仿宋" w:hAnsi="仿宋" w:eastAsia="仿宋" w:cs="仿宋"/>
          <w:sz w:val="28"/>
          <w:szCs w:val="28"/>
          <w:lang w:val="en-US" w:eastAsia="zh-CN"/>
        </w:rPr>
        <w:t>月</w:t>
      </w:r>
      <w:r>
        <w:rPr>
          <w:rFonts w:hint="eastAsia" w:ascii="Times New Roman" w:hAnsi="Times New Roman" w:eastAsia="方正仿宋简体" w:cs="Times New Roman"/>
          <w:sz w:val="28"/>
          <w:szCs w:val="28"/>
          <w:lang w:val="en-US" w:eastAsia="zh-CN"/>
        </w:rPr>
        <w:t>30</w:t>
      </w:r>
      <w:r>
        <w:rPr>
          <w:rFonts w:hint="eastAsia" w:ascii="仿宋" w:hAnsi="仿宋" w:eastAsia="仿宋" w:cs="仿宋"/>
          <w:sz w:val="28"/>
          <w:szCs w:val="28"/>
          <w:lang w:val="en-US" w:eastAsia="zh-CN"/>
        </w:rPr>
        <w:t>日开展集中学习</w:t>
      </w:r>
    </w:p>
    <w:p w14:paraId="51C1F1F4">
      <w:pPr>
        <w:jc w:val="both"/>
        <w:rPr>
          <w:rFonts w:hint="eastAsia" w:asciiTheme="minorHAnsi" w:hAnsiTheme="minorHAnsi" w:eastAsiaTheme="minorEastAsia" w:cstheme="minorBidi"/>
          <w:kern w:val="2"/>
          <w:sz w:val="21"/>
          <w:szCs w:val="24"/>
          <w:lang w:val="en-US" w:eastAsia="zh-CN" w:bidi="ar-SA"/>
        </w:rPr>
      </w:pPr>
    </w:p>
    <w:p w14:paraId="6B390C70">
      <w:pPr>
        <w:bidi w:val="0"/>
        <w:jc w:val="left"/>
        <w:rPr>
          <w:rFonts w:hint="eastAsia" w:asciiTheme="minorHAnsi" w:hAnsiTheme="minorHAnsi" w:eastAsiaTheme="minorEastAsia" w:cstheme="minorBidi"/>
          <w:kern w:val="2"/>
          <w:sz w:val="21"/>
          <w:szCs w:val="24"/>
          <w:lang w:val="en-US" w:eastAsia="zh-CN" w:bidi="ar-S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1" w:fontKey="{2BC13C6C-D804-4384-A2F0-9F94BC97D85E}"/>
  </w:font>
  <w:font w:name="隶书">
    <w:altName w:val="微软雅黑"/>
    <w:panose1 w:val="02010509060101010101"/>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embedRegular r:id="rId2" w:fontKey="{54F04ACA-DD7E-479A-BC10-7AB2AA45AA59}"/>
  </w:font>
  <w:font w:name="楷体">
    <w:panose1 w:val="02010609060101010101"/>
    <w:charset w:val="86"/>
    <w:family w:val="auto"/>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方正楷体_GB2312">
    <w:panose1 w:val="02000000000000000000"/>
    <w:charset w:val="86"/>
    <w:family w:val="auto"/>
    <w:pitch w:val="default"/>
    <w:sig w:usb0="A00002BF" w:usb1="184F6CFA" w:usb2="00000012" w:usb3="00000000" w:csb0="00040001" w:csb1="00000000"/>
    <w:embedRegular r:id="rId3" w:fontKey="{FF0C065E-ED6D-40E5-A618-BF22F125DCFA}"/>
  </w:font>
  <w:font w:name="方正仿宋简体">
    <w:panose1 w:val="03000509000000000000"/>
    <w:charset w:val="86"/>
    <w:family w:val="auto"/>
    <w:pitch w:val="default"/>
    <w:sig w:usb0="00000001" w:usb1="080E0000" w:usb2="00000000" w:usb3="00000000" w:csb0="00040000" w:csb1="00000000"/>
    <w:embedRegular r:id="rId4" w:fontKey="{7FE27016-EE73-4F3A-896D-983E4EB7957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6CA36F4"/>
    <w:rsid w:val="006B5C40"/>
    <w:rsid w:val="01340756"/>
    <w:rsid w:val="03851ED2"/>
    <w:rsid w:val="03977DD1"/>
    <w:rsid w:val="03C5404C"/>
    <w:rsid w:val="042A6EF2"/>
    <w:rsid w:val="04C71A75"/>
    <w:rsid w:val="050F19D9"/>
    <w:rsid w:val="059114BE"/>
    <w:rsid w:val="05AA2098"/>
    <w:rsid w:val="07BE70C4"/>
    <w:rsid w:val="0B4378F0"/>
    <w:rsid w:val="0B8F28D9"/>
    <w:rsid w:val="0CBB6DF3"/>
    <w:rsid w:val="1089474E"/>
    <w:rsid w:val="10AD127A"/>
    <w:rsid w:val="117663D3"/>
    <w:rsid w:val="191775ED"/>
    <w:rsid w:val="19FB2D5A"/>
    <w:rsid w:val="1B4C1150"/>
    <w:rsid w:val="1B8371BB"/>
    <w:rsid w:val="1DD12460"/>
    <w:rsid w:val="1EB15BB6"/>
    <w:rsid w:val="202A4D9F"/>
    <w:rsid w:val="207812B9"/>
    <w:rsid w:val="208F1EC9"/>
    <w:rsid w:val="2105059F"/>
    <w:rsid w:val="22A1155F"/>
    <w:rsid w:val="233513E8"/>
    <w:rsid w:val="2343505C"/>
    <w:rsid w:val="24207698"/>
    <w:rsid w:val="252A68FA"/>
    <w:rsid w:val="27CB6636"/>
    <w:rsid w:val="285F7335"/>
    <w:rsid w:val="29961670"/>
    <w:rsid w:val="2A582BC0"/>
    <w:rsid w:val="2A9A4646"/>
    <w:rsid w:val="2AA71F40"/>
    <w:rsid w:val="2BB47705"/>
    <w:rsid w:val="2BD83520"/>
    <w:rsid w:val="2E025C5B"/>
    <w:rsid w:val="2EDD5168"/>
    <w:rsid w:val="2F6D385E"/>
    <w:rsid w:val="303B192D"/>
    <w:rsid w:val="307B44AD"/>
    <w:rsid w:val="309B7D6B"/>
    <w:rsid w:val="31DA6EFF"/>
    <w:rsid w:val="32903701"/>
    <w:rsid w:val="337545EC"/>
    <w:rsid w:val="34EA7F41"/>
    <w:rsid w:val="3518766E"/>
    <w:rsid w:val="353574D4"/>
    <w:rsid w:val="36172963"/>
    <w:rsid w:val="36643DCC"/>
    <w:rsid w:val="3AD81B35"/>
    <w:rsid w:val="3B3911ED"/>
    <w:rsid w:val="3D8B6FDD"/>
    <w:rsid w:val="3E4E7114"/>
    <w:rsid w:val="3FD31ACD"/>
    <w:rsid w:val="40BC609B"/>
    <w:rsid w:val="442428E8"/>
    <w:rsid w:val="442B0161"/>
    <w:rsid w:val="454A4722"/>
    <w:rsid w:val="458E2826"/>
    <w:rsid w:val="46916FD5"/>
    <w:rsid w:val="499B2338"/>
    <w:rsid w:val="4BF947AC"/>
    <w:rsid w:val="4D7A4E32"/>
    <w:rsid w:val="515505E8"/>
    <w:rsid w:val="5253537D"/>
    <w:rsid w:val="563F3E8D"/>
    <w:rsid w:val="56773896"/>
    <w:rsid w:val="574F7976"/>
    <w:rsid w:val="59601058"/>
    <w:rsid w:val="596B32B9"/>
    <w:rsid w:val="5AB32E87"/>
    <w:rsid w:val="5B3D2EAC"/>
    <w:rsid w:val="5C734DB5"/>
    <w:rsid w:val="5CD60B5E"/>
    <w:rsid w:val="5D2F3316"/>
    <w:rsid w:val="5E190CDE"/>
    <w:rsid w:val="5E8E6E2E"/>
    <w:rsid w:val="5EFE07E1"/>
    <w:rsid w:val="637359BF"/>
    <w:rsid w:val="637970C3"/>
    <w:rsid w:val="64A20D98"/>
    <w:rsid w:val="656C3DE9"/>
    <w:rsid w:val="65A610A9"/>
    <w:rsid w:val="66CA36F4"/>
    <w:rsid w:val="6937313F"/>
    <w:rsid w:val="6F6A57DA"/>
    <w:rsid w:val="70250D90"/>
    <w:rsid w:val="7053732A"/>
    <w:rsid w:val="712B4341"/>
    <w:rsid w:val="71E5266B"/>
    <w:rsid w:val="726F4F19"/>
    <w:rsid w:val="74442E04"/>
    <w:rsid w:val="74EC3363"/>
    <w:rsid w:val="77463565"/>
    <w:rsid w:val="7843265A"/>
    <w:rsid w:val="79156236"/>
    <w:rsid w:val="7A260929"/>
    <w:rsid w:val="7B5B160C"/>
    <w:rsid w:val="7CAD001B"/>
    <w:rsid w:val="7E054EEF"/>
    <w:rsid w:val="7E277E5D"/>
    <w:rsid w:val="7E7146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563</Words>
  <Characters>579</Characters>
  <Lines>0</Lines>
  <Paragraphs>0</Paragraphs>
  <TotalTime>2</TotalTime>
  <ScaleCrop>false</ScaleCrop>
  <LinksUpToDate>false</LinksUpToDate>
  <CharactersWithSpaces>625</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2025-07-22T08:52:00Z</dcterms:created>
  <dc:creator>鲍磊</dc:creator>
  <cp:lastModifiedBy>李树程</cp:lastModifiedBy>
  <cp:lastPrinted>2026-05-12T01:29:44Z</cp:lastPrinted>
  <dcterms:modified xsi:type="dcterms:W3CDTF">2026-05-12T01:38:09Z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3F227131ACFE43D8AFA256FC492076C1_13</vt:lpwstr>
  </property>
  <property fmtid="{D5CDD505-2E9C-101B-9397-08002B2CF9AE}" pid="4" name="KSOTemplateDocerSaveRecord">
    <vt:lpwstr>eyJoZGlkIjoiODcxMDMxODg5NjAzODM1YjIzZjRkY2QxZWU4OTVkNGMiLCJ1c2VySWQiOiI5OTE5ODM0NTkifQ==</vt:lpwstr>
  </property>
</Properties>
</file>