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0C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20" w:firstLineChars="100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益民社区党支部开展专题理论学习</w:t>
      </w:r>
      <w:bookmarkEnd w:id="0"/>
    </w:p>
    <w:p w14:paraId="7CE1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2月24日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，益民社区党支部开展专题理论学习，通过深学细悟、研讨交流，推动理论学习成果转化为治理实效。</w:t>
      </w:r>
    </w:p>
    <w:p w14:paraId="77E4D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邢书记领学《习近平谈治国理政》第五卷中完善基层治理体系，筑牢社会和谐稳定基础重要篇章。紧扣基层治理实践，围绕党建引领、网格服务、矛盾化解、民生保障等重点内容，结合社区工作实际交流研讨。她表示，基层治理是国家治理的“最后一公里”，必须坚持以人民为中心，把党组织领导贯穿治理全过程，把服务群众、造福群众作为出发点和落脚点，用心用情解决居民急难愁盼。</w:t>
      </w:r>
    </w:p>
    <w:p w14:paraId="5BAB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最后，与会人员进行了交流分享，大家表示要把学习成果转化为履职实效，以“绣花功夫”做细做实基层工作，发动居民、志愿者、社会组织共同参与共建共治，不断提升社区治理精细化、规范化水平。</w:t>
      </w:r>
    </w:p>
    <w:p w14:paraId="01A3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下一步，益民社区党支部将持续深化理论学习成果转化，建强基层战斗堡垒，创新治理方式、优化服务供给，切实把学习成效体现在为民办事、守护平安、促进和谐上。</w:t>
      </w:r>
    </w:p>
    <w:p w14:paraId="2316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4A37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5788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4A05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565775" cy="4174490"/>
            <wp:effectExtent l="0" t="0" r="12065" b="1270"/>
            <wp:docPr id="1" name="图片 1" descr="微信图片_20260202145250_822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2145250_822_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4D53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5266A"/>
    <w:rsid w:val="166360A0"/>
    <w:rsid w:val="23986CEB"/>
    <w:rsid w:val="3A4F3506"/>
    <w:rsid w:val="411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339</Characters>
  <Lines>0</Lines>
  <Paragraphs>0</Paragraphs>
  <TotalTime>5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2026-02-26T08:23:00Z</dcterms:created>
  <dc:creator>ws</dc:creator>
  <cp:lastModifiedBy>小盆友</cp:lastModifiedBy>
  <cp:lastPrinted>2026-02-26T08:41:33Z</cp:lastPrinted>
  <dcterms:modified xsi:type="dcterms:W3CDTF">2026-02-26T08:41:41Z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D793DE92F2084D7A81BAB2F0BF16AC87_12</vt:lpwstr>
  </property>
</Properties>
</file>