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BA4B4">
      <w:pPr>
        <w:spacing w:line="560" w:lineRule="exact"/>
        <w:ind w:firstLine="1320" w:firstLineChars="300"/>
        <w:rPr>
          <w:rFonts w:ascii="方正小标宋_GBK" w:hAnsi="方正小标宋_GBK" w:eastAsia="方正小标宋_GBK" w:cs="方正小标宋_GBK"/>
          <w:color w:val="FF0000"/>
          <w:sz w:val="44"/>
          <w:szCs w:val="44"/>
        </w:rPr>
      </w:pPr>
      <w:bookmarkStart w:id="0" w:name="_GoBack"/>
      <w:bookmarkEnd w:id="0"/>
      <w:r>
        <w:rPr>
          <w:rFonts w:hint="eastAsia" w:ascii="方正小标宋简体" w:hAnsi="方正小标宋简体" w:eastAsia="方正小标宋简体" w:cs="方正小标宋简体"/>
          <w:color w:val="FF0000"/>
          <w:sz w:val="44"/>
          <w:szCs w:val="44"/>
        </w:rPr>
        <w:t>泰丰社区党总支学习教育工作简报</w:t>
      </w:r>
    </w:p>
    <w:p w14:paraId="437123B1">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23</w:t>
      </w:r>
      <w:r>
        <w:rPr>
          <w:rFonts w:hint="eastAsia" w:ascii="方正楷体简体" w:hAnsi="方正楷体简体" w:eastAsia="方正楷体简体" w:cs="方正楷体简体"/>
          <w:sz w:val="32"/>
          <w:szCs w:val="32"/>
        </w:rPr>
        <w:t>期</w:t>
      </w:r>
    </w:p>
    <w:p w14:paraId="0F1905A5">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60288;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25</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6</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20</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7385658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8"/>
          <w:rFonts w:hint="eastAsia"/>
          <w:lang w:val="en-US" w:eastAsia="zh-CN"/>
        </w:rPr>
        <w:t>泰丰社区党总支组织党员干部集中学习习近平总书记关于加强和改进民族工作的重要思想</w:t>
      </w:r>
    </w:p>
    <w:p w14:paraId="3220CC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为全面贯彻落实习近平总书记关于加强和改进民族工作的重要思想，进一步提升党员干部对民族工作的理论认知与实践能力，2025年</w:t>
      </w:r>
      <w:r>
        <w:rPr>
          <w:rFonts w:hint="eastAsia" w:ascii="Times New Roman" w:hAnsi="Times New Roman" w:eastAsia="方正仿宋简体" w:cs="Times New Roman"/>
          <w:sz w:val="32"/>
          <w:szCs w:val="32"/>
          <w:highlight w:val="none"/>
          <w:lang w:val="en-US" w:eastAsia="zh-CN"/>
        </w:rPr>
        <w:t>6</w:t>
      </w:r>
      <w:r>
        <w:rPr>
          <w:rFonts w:hint="default" w:ascii="Times New Roman" w:hAnsi="Times New Roman" w:eastAsia="方正仿宋简体" w:cs="Times New Roman"/>
          <w:sz w:val="32"/>
          <w:szCs w:val="32"/>
          <w:highlight w:val="none"/>
          <w:lang w:val="en-US" w:eastAsia="zh-CN"/>
        </w:rPr>
        <w:t>月2</w:t>
      </w:r>
      <w:r>
        <w:rPr>
          <w:rFonts w:hint="eastAsia" w:ascii="Times New Roman" w:hAnsi="Times New Roman" w:eastAsia="方正仿宋简体" w:cs="Times New Roman"/>
          <w:sz w:val="32"/>
          <w:szCs w:val="32"/>
          <w:highlight w:val="none"/>
          <w:lang w:val="en-US" w:eastAsia="zh-CN"/>
        </w:rPr>
        <w:t>0</w:t>
      </w:r>
      <w:r>
        <w:rPr>
          <w:rFonts w:hint="default" w:ascii="Times New Roman" w:hAnsi="Times New Roman" w:eastAsia="方正仿宋简体" w:cs="Times New Roman"/>
          <w:sz w:val="32"/>
          <w:szCs w:val="32"/>
          <w:highlight w:val="none"/>
          <w:lang w:val="en-US" w:eastAsia="zh-CN"/>
        </w:rPr>
        <w:t>日，泰丰社区党总支组织召开专题学习研讨会。会议旨在通过系统学习，引导党员干部深刻领会习近平总书记关于民族工作的战略部署，推动理论成果转化为实际工作效能。</w:t>
      </w:r>
    </w:p>
    <w:p w14:paraId="5542A0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会上，党总支书记韩秀萍作主旨发言。她强调始终将民族问题作为关键任务，牢牢把握民族平等、民族团结、民族区域自治及共同繁荣的核心方针，着力构建和谐共进的民族关系。她指出党支部坚持以政策理论学习与实践探索双轮驱动，持续深化对民族工作的规律性认识，确保党的民族政策在基层落地生根。</w:t>
      </w:r>
    </w:p>
    <w:p w14:paraId="2A19BF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此次学习研讨会成效显著，进一步增强党员干部的政治自觉与行动自觉。大家一致表示，将以习近平总书记的重要思想为根本遵循，坚定“五个认同”，将共同体理念融入日常服务、矛盾调解、民生保障等各个环节，以实际行动维护民族团结、促进社会和谐</w:t>
      </w:r>
      <w:r>
        <w:rPr>
          <w:rFonts w:hint="eastAsia" w:ascii="Times New Roman" w:hAnsi="Times New Roman" w:eastAsia="方正仿宋简体" w:cs="Times New Roman"/>
          <w:sz w:val="32"/>
          <w:szCs w:val="32"/>
          <w:highlight w:val="none"/>
          <w:lang w:val="en-US" w:eastAsia="zh-CN"/>
        </w:rPr>
        <w:t>。</w:t>
      </w:r>
    </w:p>
    <w:p w14:paraId="3ACF1B9C">
      <w:pPr>
        <w:jc w:val="left"/>
      </w:pPr>
      <w:r>
        <w:rPr>
          <w:rFonts w:hint="eastAsia" w:ascii="仿宋" w:hAnsi="仿宋" w:eastAsia="仿宋" w:cs="仿宋"/>
          <w:sz w:val="32"/>
          <w:szCs w:val="32"/>
          <w:lang w:val="en-US" w:eastAsia="zh-CN"/>
        </w:rPr>
        <w:t>图片信息：</w:t>
      </w:r>
      <w:r>
        <w:drawing>
          <wp:inline distT="0" distB="0" distL="114300" distR="114300">
            <wp:extent cx="5267960" cy="3950335"/>
            <wp:effectExtent l="0" t="0" r="8890" b="12065"/>
            <wp:docPr id="1" name="图片 1" descr="27b8511f7235e57df93e9507ac446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b8511f7235e57df93e9507ac4462d"/>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p w14:paraId="06CA9538">
      <w:pPr>
        <w:jc w:val="left"/>
      </w:pPr>
    </w:p>
    <w:p w14:paraId="2B0415A8">
      <w:pPr>
        <w:jc w:val="left"/>
      </w:pPr>
    </w:p>
    <w:p w14:paraId="4EEF98C0">
      <w:pPr>
        <w:jc w:val="left"/>
      </w:pPr>
    </w:p>
    <w:p w14:paraId="3FA37F34">
      <w:pPr>
        <w:jc w:val="left"/>
      </w:pPr>
    </w:p>
    <w:p w14:paraId="4CFFEE55">
      <w:pPr>
        <w:jc w:val="left"/>
      </w:pPr>
    </w:p>
    <w:p w14:paraId="6331ED94">
      <w:pPr>
        <w:jc w:val="left"/>
      </w:pPr>
    </w:p>
    <w:p w14:paraId="356E2FBF">
      <w:pPr>
        <w:jc w:val="left"/>
      </w:pPr>
    </w:p>
    <w:p w14:paraId="78D198FB">
      <w:pPr>
        <w:jc w:val="left"/>
      </w:pPr>
    </w:p>
    <w:p w14:paraId="398EDBBC">
      <w:pPr>
        <w:jc w:val="left"/>
      </w:pPr>
    </w:p>
    <w:p w14:paraId="75A7D0E3">
      <w:pPr>
        <w:jc w:val="left"/>
      </w:pPr>
    </w:p>
    <w:p w14:paraId="31198ADC">
      <w:pPr>
        <w:jc w:val="left"/>
      </w:pPr>
    </w:p>
    <w:p w14:paraId="2E3FD3FE">
      <w:pPr>
        <w:jc w:val="left"/>
      </w:pPr>
    </w:p>
    <w:p w14:paraId="1B8F3D40">
      <w:pPr>
        <w:jc w:val="left"/>
      </w:pPr>
    </w:p>
    <w:p w14:paraId="4C3A673B">
      <w:pPr>
        <w:jc w:val="left"/>
      </w:pPr>
    </w:p>
    <w:p w14:paraId="55C45EAB">
      <w:pPr>
        <w:jc w:val="left"/>
      </w:pPr>
    </w:p>
    <w:p w14:paraId="6AB59CA8">
      <w:pPr>
        <w:jc w:val="left"/>
      </w:pPr>
    </w:p>
    <w:p w14:paraId="44B822AE">
      <w:pPr>
        <w:jc w:val="left"/>
      </w:pPr>
    </w:p>
    <w:p w14:paraId="6AEF8E29">
      <w:pPr>
        <w:jc w:val="left"/>
      </w:pPr>
    </w:p>
    <w:p w14:paraId="6E2993CA">
      <w:pPr>
        <w:jc w:val="left"/>
      </w:pPr>
    </w:p>
    <w:p w14:paraId="6E8747DF">
      <w:pPr>
        <w:jc w:val="left"/>
      </w:pPr>
    </w:p>
    <w:p w14:paraId="459A69E8">
      <w:pPr>
        <w:jc w:val="left"/>
      </w:pPr>
    </w:p>
    <w:p w14:paraId="2112A412">
      <w:pPr>
        <w:jc w:val="left"/>
      </w:pPr>
    </w:p>
    <w:p w14:paraId="4E229F32">
      <w:pPr>
        <w:rPr>
          <w:rFonts w:hint="eastAsia" w:eastAsiaTheme="minorEastAsia"/>
          <w:lang w:eastAsia="zh-CN"/>
        </w:rPr>
      </w:pPr>
    </w:p>
    <w:tbl>
      <w:tblPr>
        <w:tblStyle w:val="6"/>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4759"/>
        <w:gridCol w:w="2840"/>
      </w:tblGrid>
      <w:tr w14:paraId="4C74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7EBB0561">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rPr>
              <w:t>年</w:t>
            </w:r>
            <w:r>
              <w:rPr>
                <w:rFonts w:hint="default"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20</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泰丰社区党总支组织党员干部集中学习习近平总书记关于加强和改进民族工作的重要思想</w:t>
            </w:r>
          </w:p>
          <w:p w14:paraId="4F2B28F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6A3B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F4AB191">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59D200D8">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2D79B0F5">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47D2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2BB217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405AD7EA">
            <w:pPr>
              <w:spacing w:line="220" w:lineRule="atLeast"/>
              <w:rPr>
                <w:rFonts w:hint="eastAsia" w:ascii="仿宋" w:hAnsi="仿宋" w:eastAsia="仿宋" w:cs="仿宋"/>
                <w:sz w:val="32"/>
                <w:szCs w:val="32"/>
                <w:vertAlign w:val="baseline"/>
                <w:lang w:eastAsia="zh-CN"/>
              </w:rPr>
            </w:pPr>
          </w:p>
        </w:tc>
        <w:tc>
          <w:tcPr>
            <w:tcW w:w="3021" w:type="dxa"/>
          </w:tcPr>
          <w:p w14:paraId="33B72699">
            <w:pPr>
              <w:spacing w:line="220" w:lineRule="atLeast"/>
              <w:rPr>
                <w:rFonts w:hint="eastAsia" w:ascii="仿宋" w:hAnsi="仿宋" w:eastAsia="仿宋" w:cs="仿宋"/>
                <w:sz w:val="32"/>
                <w:szCs w:val="32"/>
                <w:vertAlign w:val="baseline"/>
                <w:lang w:eastAsia="zh-CN"/>
              </w:rPr>
            </w:pPr>
          </w:p>
        </w:tc>
      </w:tr>
      <w:tr w14:paraId="5578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F5AD9F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1166AAF4">
            <w:pPr>
              <w:spacing w:line="220" w:lineRule="atLeast"/>
              <w:rPr>
                <w:rFonts w:hint="eastAsia" w:ascii="仿宋" w:hAnsi="仿宋" w:eastAsia="仿宋" w:cs="仿宋"/>
                <w:sz w:val="32"/>
                <w:szCs w:val="32"/>
                <w:vertAlign w:val="baseline"/>
                <w:lang w:eastAsia="zh-CN"/>
              </w:rPr>
            </w:pPr>
          </w:p>
        </w:tc>
        <w:tc>
          <w:tcPr>
            <w:tcW w:w="3021" w:type="dxa"/>
          </w:tcPr>
          <w:p w14:paraId="1F1C30A7">
            <w:pPr>
              <w:spacing w:line="220" w:lineRule="atLeast"/>
              <w:rPr>
                <w:rFonts w:hint="eastAsia" w:ascii="仿宋" w:hAnsi="仿宋" w:eastAsia="仿宋" w:cs="仿宋"/>
                <w:sz w:val="32"/>
                <w:szCs w:val="32"/>
                <w:vertAlign w:val="baseline"/>
                <w:lang w:eastAsia="zh-CN"/>
              </w:rPr>
            </w:pPr>
          </w:p>
        </w:tc>
      </w:tr>
      <w:tr w14:paraId="1615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EE22742">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321282EB">
            <w:pPr>
              <w:spacing w:line="220" w:lineRule="atLeast"/>
              <w:rPr>
                <w:rFonts w:hint="eastAsia" w:ascii="仿宋" w:hAnsi="仿宋" w:eastAsia="仿宋" w:cs="仿宋"/>
                <w:sz w:val="32"/>
                <w:szCs w:val="32"/>
                <w:vertAlign w:val="baseline"/>
                <w:lang w:eastAsia="zh-CN"/>
              </w:rPr>
            </w:pPr>
          </w:p>
        </w:tc>
        <w:tc>
          <w:tcPr>
            <w:tcW w:w="3021" w:type="dxa"/>
          </w:tcPr>
          <w:p w14:paraId="3A916391">
            <w:pPr>
              <w:spacing w:line="220" w:lineRule="atLeast"/>
              <w:rPr>
                <w:rFonts w:hint="eastAsia" w:ascii="仿宋" w:hAnsi="仿宋" w:eastAsia="仿宋" w:cs="仿宋"/>
                <w:sz w:val="32"/>
                <w:szCs w:val="32"/>
                <w:vertAlign w:val="baseline"/>
                <w:lang w:eastAsia="zh-CN"/>
              </w:rPr>
            </w:pPr>
          </w:p>
        </w:tc>
      </w:tr>
      <w:tr w14:paraId="4357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D7338D9">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46617BAE">
            <w:pPr>
              <w:spacing w:line="220" w:lineRule="atLeast"/>
              <w:rPr>
                <w:rFonts w:hint="eastAsia" w:ascii="仿宋" w:hAnsi="仿宋" w:eastAsia="仿宋" w:cs="仿宋"/>
                <w:sz w:val="32"/>
                <w:szCs w:val="32"/>
                <w:vertAlign w:val="baseline"/>
                <w:lang w:eastAsia="zh-CN"/>
              </w:rPr>
            </w:pPr>
          </w:p>
        </w:tc>
        <w:tc>
          <w:tcPr>
            <w:tcW w:w="3021" w:type="dxa"/>
          </w:tcPr>
          <w:p w14:paraId="78832985">
            <w:pPr>
              <w:spacing w:line="220" w:lineRule="atLeast"/>
              <w:rPr>
                <w:rFonts w:hint="eastAsia" w:ascii="仿宋" w:hAnsi="仿宋" w:eastAsia="仿宋" w:cs="仿宋"/>
                <w:sz w:val="32"/>
                <w:szCs w:val="32"/>
                <w:vertAlign w:val="baseline"/>
                <w:lang w:eastAsia="zh-CN"/>
              </w:rPr>
            </w:pPr>
          </w:p>
        </w:tc>
      </w:tr>
      <w:tr w14:paraId="1289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A8AC16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37E8C91F">
            <w:pPr>
              <w:spacing w:line="220" w:lineRule="atLeast"/>
              <w:rPr>
                <w:rFonts w:hint="eastAsia" w:ascii="仿宋" w:hAnsi="仿宋" w:eastAsia="仿宋" w:cs="仿宋"/>
                <w:sz w:val="32"/>
                <w:szCs w:val="32"/>
                <w:vertAlign w:val="baseline"/>
                <w:lang w:eastAsia="zh-CN"/>
              </w:rPr>
            </w:pPr>
          </w:p>
        </w:tc>
        <w:tc>
          <w:tcPr>
            <w:tcW w:w="3021" w:type="dxa"/>
          </w:tcPr>
          <w:p w14:paraId="28D482A7">
            <w:pPr>
              <w:spacing w:line="220" w:lineRule="atLeast"/>
              <w:rPr>
                <w:rFonts w:hint="eastAsia" w:ascii="仿宋" w:hAnsi="仿宋" w:eastAsia="仿宋" w:cs="仿宋"/>
                <w:sz w:val="32"/>
                <w:szCs w:val="32"/>
                <w:vertAlign w:val="baseline"/>
                <w:lang w:eastAsia="zh-CN"/>
              </w:rPr>
            </w:pPr>
          </w:p>
        </w:tc>
      </w:tr>
      <w:tr w14:paraId="0077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687143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5F4DDA99">
            <w:pPr>
              <w:spacing w:line="220" w:lineRule="atLeast"/>
              <w:rPr>
                <w:rFonts w:hint="eastAsia" w:ascii="仿宋" w:hAnsi="仿宋" w:eastAsia="仿宋" w:cs="仿宋"/>
                <w:sz w:val="32"/>
                <w:szCs w:val="32"/>
                <w:vertAlign w:val="baseline"/>
                <w:lang w:eastAsia="zh-CN"/>
              </w:rPr>
            </w:pPr>
          </w:p>
        </w:tc>
        <w:tc>
          <w:tcPr>
            <w:tcW w:w="3021" w:type="dxa"/>
          </w:tcPr>
          <w:p w14:paraId="50391043">
            <w:pPr>
              <w:spacing w:line="220" w:lineRule="atLeast"/>
              <w:rPr>
                <w:rFonts w:hint="eastAsia" w:ascii="仿宋" w:hAnsi="仿宋" w:eastAsia="仿宋" w:cs="仿宋"/>
                <w:sz w:val="32"/>
                <w:szCs w:val="32"/>
                <w:vertAlign w:val="baseline"/>
                <w:lang w:eastAsia="zh-CN"/>
              </w:rPr>
            </w:pPr>
          </w:p>
        </w:tc>
      </w:tr>
      <w:tr w14:paraId="6B2D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12B0D2A">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4D193913">
            <w:pPr>
              <w:spacing w:line="220" w:lineRule="atLeast"/>
              <w:rPr>
                <w:rFonts w:hint="eastAsia" w:ascii="仿宋" w:hAnsi="仿宋" w:eastAsia="仿宋" w:cs="仿宋"/>
                <w:sz w:val="32"/>
                <w:szCs w:val="32"/>
                <w:vertAlign w:val="baseline"/>
                <w:lang w:eastAsia="zh-CN"/>
              </w:rPr>
            </w:pPr>
          </w:p>
        </w:tc>
        <w:tc>
          <w:tcPr>
            <w:tcW w:w="3021" w:type="dxa"/>
          </w:tcPr>
          <w:p w14:paraId="418BCAA7">
            <w:pPr>
              <w:spacing w:line="220" w:lineRule="atLeast"/>
              <w:rPr>
                <w:rFonts w:hint="eastAsia" w:ascii="仿宋" w:hAnsi="仿宋" w:eastAsia="仿宋" w:cs="仿宋"/>
                <w:sz w:val="32"/>
                <w:szCs w:val="32"/>
                <w:vertAlign w:val="baseline"/>
                <w:lang w:eastAsia="zh-CN"/>
              </w:rPr>
            </w:pPr>
          </w:p>
        </w:tc>
      </w:tr>
      <w:tr w14:paraId="3D86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059E77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3B8AD5FA">
            <w:pPr>
              <w:spacing w:line="220" w:lineRule="atLeast"/>
              <w:rPr>
                <w:rFonts w:hint="eastAsia" w:ascii="仿宋" w:hAnsi="仿宋" w:eastAsia="仿宋" w:cs="仿宋"/>
                <w:sz w:val="32"/>
                <w:szCs w:val="32"/>
                <w:vertAlign w:val="baseline"/>
                <w:lang w:eastAsia="zh-CN"/>
              </w:rPr>
            </w:pPr>
          </w:p>
        </w:tc>
        <w:tc>
          <w:tcPr>
            <w:tcW w:w="3021" w:type="dxa"/>
          </w:tcPr>
          <w:p w14:paraId="44F99A5C">
            <w:pPr>
              <w:spacing w:line="220" w:lineRule="atLeast"/>
              <w:rPr>
                <w:rFonts w:hint="eastAsia" w:ascii="仿宋" w:hAnsi="仿宋" w:eastAsia="仿宋" w:cs="仿宋"/>
                <w:sz w:val="32"/>
                <w:szCs w:val="32"/>
                <w:vertAlign w:val="baseline"/>
                <w:lang w:eastAsia="zh-CN"/>
              </w:rPr>
            </w:pPr>
          </w:p>
        </w:tc>
      </w:tr>
      <w:tr w14:paraId="3DC3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52D7D4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6262425C">
            <w:pPr>
              <w:spacing w:line="220" w:lineRule="atLeast"/>
              <w:rPr>
                <w:rFonts w:hint="eastAsia" w:ascii="仿宋" w:hAnsi="仿宋" w:eastAsia="仿宋" w:cs="仿宋"/>
                <w:sz w:val="32"/>
                <w:szCs w:val="32"/>
                <w:vertAlign w:val="baseline"/>
                <w:lang w:eastAsia="zh-CN"/>
              </w:rPr>
            </w:pPr>
          </w:p>
        </w:tc>
        <w:tc>
          <w:tcPr>
            <w:tcW w:w="3021" w:type="dxa"/>
          </w:tcPr>
          <w:p w14:paraId="3676C293">
            <w:pPr>
              <w:spacing w:line="220" w:lineRule="atLeast"/>
              <w:rPr>
                <w:rFonts w:hint="eastAsia" w:ascii="仿宋" w:hAnsi="仿宋" w:eastAsia="仿宋" w:cs="仿宋"/>
                <w:sz w:val="32"/>
                <w:szCs w:val="32"/>
                <w:vertAlign w:val="baseline"/>
                <w:lang w:eastAsia="zh-CN"/>
              </w:rPr>
            </w:pPr>
          </w:p>
        </w:tc>
      </w:tr>
      <w:tr w14:paraId="1DEC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0AA485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340C287A">
            <w:pPr>
              <w:spacing w:line="220" w:lineRule="atLeast"/>
              <w:rPr>
                <w:rFonts w:hint="eastAsia" w:ascii="仿宋" w:hAnsi="仿宋" w:eastAsia="仿宋" w:cs="仿宋"/>
                <w:sz w:val="32"/>
                <w:szCs w:val="32"/>
                <w:vertAlign w:val="baseline"/>
                <w:lang w:eastAsia="zh-CN"/>
              </w:rPr>
            </w:pPr>
          </w:p>
        </w:tc>
        <w:tc>
          <w:tcPr>
            <w:tcW w:w="3021" w:type="dxa"/>
          </w:tcPr>
          <w:p w14:paraId="30BC65C7">
            <w:pPr>
              <w:spacing w:line="220" w:lineRule="atLeast"/>
              <w:rPr>
                <w:rFonts w:hint="eastAsia" w:ascii="仿宋" w:hAnsi="仿宋" w:eastAsia="仿宋" w:cs="仿宋"/>
                <w:sz w:val="32"/>
                <w:szCs w:val="32"/>
                <w:vertAlign w:val="baseline"/>
                <w:lang w:eastAsia="zh-CN"/>
              </w:rPr>
            </w:pPr>
          </w:p>
        </w:tc>
      </w:tr>
      <w:tr w14:paraId="1F75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D2BFD9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6E09077F">
            <w:pPr>
              <w:spacing w:line="220" w:lineRule="atLeast"/>
              <w:rPr>
                <w:rFonts w:hint="eastAsia" w:ascii="仿宋" w:hAnsi="仿宋" w:eastAsia="仿宋" w:cs="仿宋"/>
                <w:sz w:val="32"/>
                <w:szCs w:val="32"/>
                <w:vertAlign w:val="baseline"/>
                <w:lang w:eastAsia="zh-CN"/>
              </w:rPr>
            </w:pPr>
          </w:p>
        </w:tc>
        <w:tc>
          <w:tcPr>
            <w:tcW w:w="3021" w:type="dxa"/>
          </w:tcPr>
          <w:p w14:paraId="010F19E6">
            <w:pPr>
              <w:spacing w:line="220" w:lineRule="atLeast"/>
              <w:rPr>
                <w:rFonts w:hint="eastAsia" w:ascii="仿宋" w:hAnsi="仿宋" w:eastAsia="仿宋" w:cs="仿宋"/>
                <w:sz w:val="32"/>
                <w:szCs w:val="32"/>
                <w:vertAlign w:val="baseline"/>
                <w:lang w:eastAsia="zh-CN"/>
              </w:rPr>
            </w:pPr>
          </w:p>
        </w:tc>
      </w:tr>
      <w:tr w14:paraId="0197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284A3C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024545EC">
            <w:pPr>
              <w:spacing w:line="220" w:lineRule="atLeast"/>
              <w:rPr>
                <w:rFonts w:hint="eastAsia" w:ascii="仿宋" w:hAnsi="仿宋" w:eastAsia="仿宋" w:cs="仿宋"/>
                <w:sz w:val="32"/>
                <w:szCs w:val="32"/>
                <w:vertAlign w:val="baseline"/>
                <w:lang w:eastAsia="zh-CN"/>
              </w:rPr>
            </w:pPr>
          </w:p>
        </w:tc>
        <w:tc>
          <w:tcPr>
            <w:tcW w:w="3021" w:type="dxa"/>
          </w:tcPr>
          <w:p w14:paraId="4E11BE3A">
            <w:pPr>
              <w:spacing w:line="220" w:lineRule="atLeast"/>
              <w:rPr>
                <w:rFonts w:hint="eastAsia" w:ascii="仿宋" w:hAnsi="仿宋" w:eastAsia="仿宋" w:cs="仿宋"/>
                <w:sz w:val="32"/>
                <w:szCs w:val="32"/>
                <w:vertAlign w:val="baseline"/>
                <w:lang w:eastAsia="zh-CN"/>
              </w:rPr>
            </w:pPr>
          </w:p>
        </w:tc>
      </w:tr>
      <w:tr w14:paraId="3575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FBA244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354CFA33">
            <w:pPr>
              <w:spacing w:line="220" w:lineRule="atLeast"/>
              <w:rPr>
                <w:rFonts w:hint="eastAsia" w:ascii="仿宋" w:hAnsi="仿宋" w:eastAsia="仿宋" w:cs="仿宋"/>
                <w:sz w:val="32"/>
                <w:szCs w:val="32"/>
                <w:vertAlign w:val="baseline"/>
                <w:lang w:eastAsia="zh-CN"/>
              </w:rPr>
            </w:pPr>
          </w:p>
        </w:tc>
        <w:tc>
          <w:tcPr>
            <w:tcW w:w="3021" w:type="dxa"/>
          </w:tcPr>
          <w:p w14:paraId="4867F802">
            <w:pPr>
              <w:spacing w:line="220" w:lineRule="atLeast"/>
              <w:rPr>
                <w:rFonts w:hint="eastAsia" w:ascii="仿宋" w:hAnsi="仿宋" w:eastAsia="仿宋" w:cs="仿宋"/>
                <w:sz w:val="32"/>
                <w:szCs w:val="32"/>
                <w:vertAlign w:val="baseline"/>
                <w:lang w:eastAsia="zh-CN"/>
              </w:rPr>
            </w:pPr>
          </w:p>
        </w:tc>
      </w:tr>
    </w:tbl>
    <w:p w14:paraId="3AB10A47">
      <w:pPr>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17A6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42381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C42381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07089"/>
    <w:rsid w:val="49EA092C"/>
    <w:rsid w:val="75205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240" w:after="240"/>
      <w:jc w:val="center"/>
      <w:outlineLvl w:val="0"/>
    </w:pPr>
    <w:rPr>
      <w:rFonts w:eastAsia="方正小标宋简体"/>
      <w:kern w:val="44"/>
      <w:sz w:val="44"/>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link w:val="2"/>
    <w:autoRedefine/>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529</Words>
  <Characters>546</Characters>
  <Lines>0</Lines>
  <Paragraphs>0</Paragraphs>
  <TotalTime>1</TotalTime>
  <ScaleCrop>false</ScaleCrop>
  <LinksUpToDate>false</LinksUpToDate>
  <CharactersWithSpaces>570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2025-06-03T02:48:00Z</dcterms:created>
  <dc:creator>Administrator</dc:creator>
  <cp:lastModifiedBy>Administrator</cp:lastModifiedBy>
  <dcterms:modified xsi:type="dcterms:W3CDTF">2025-07-23T02:34:27Z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eyJoZGlkIjoiNzIzYmI3NjYxYWMxZWIzZDdhMjQ4MDdjMmIzYzc2MjEifQ==</vt:lpwstr>
  </property>
  <property fmtid="{D5CDD505-2E9C-101B-9397-08002B2CF9AE}" pid="4" name="ICV">
    <vt:lpwstr>E3733647679F471E9BEA3C3BFED80ADC_12</vt:lpwstr>
  </property>
</Properties>
</file>