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7</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2</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18</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泰丰社区党总支组织党员干部集中观看党风廉政教育片《反腐为了人民》</w:t>
      </w:r>
    </w:p>
    <w:p w14:paraId="6BF93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为强化社区工作人员的廉洁自律意识，提升拒腐防变能力，2025</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18</w:t>
      </w:r>
      <w:r>
        <w:rPr>
          <w:rFonts w:hint="eastAsia" w:ascii="方正仿宋简体" w:hAnsi="方正仿宋简体" w:eastAsia="方正仿宋简体" w:cs="方正仿宋简体"/>
          <w:sz w:val="32"/>
          <w:szCs w:val="32"/>
          <w:highlight w:val="none"/>
          <w:lang w:val="en-US" w:eastAsia="zh-CN"/>
        </w:rPr>
        <w:t>日，泰丰社区党总支组织党员干部集中观看党风廉政教育片《反腐为了人民》。</w:t>
      </w:r>
    </w:p>
    <w:p w14:paraId="0B5E2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警示教育片通过几起违纪违法典型案例深入剖析了那些发生在群众身边、侵害群众切身利益的不正之风和腐败问题，让社区党员干部深受触动。通过观看警示教育片，加强了党员党风廉政教育，提高了思想认识。大家纷纷表示，要心怀敬畏，以片中人物为鉴，将清廉理念内化于心、外化于行。</w:t>
      </w:r>
    </w:p>
    <w:p w14:paraId="7CA5E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 观看结束后，大家深受教育和警醒，要以案为鉴，时刻保持清醒，保持红线意识，杜绝侥幸心理。坚守纪律法律底线，自觉遵守党纪国法，牢固树立以人民为中心的发展思想，坚决抵制各种腐朽思想的侵蚀，严以律己，廉洁奉公。</w:t>
      </w:r>
    </w:p>
    <w:p w14:paraId="6EF4DE18">
      <w:pPr>
        <w:spacing w:line="560" w:lineRule="exact"/>
        <w:rPr>
          <w:rFonts w:hint="eastAsia" w:ascii="仿宋" w:hAnsi="仿宋" w:eastAsia="仿宋" w:cs="仿宋"/>
          <w:sz w:val="32"/>
          <w:szCs w:val="32"/>
          <w:lang w:val="en-US" w:eastAsia="zh-CN"/>
        </w:rPr>
      </w:pPr>
    </w:p>
    <w:p w14:paraId="25F20B3D">
      <w:pPr>
        <w:spacing w:line="560" w:lineRule="exact"/>
        <w:rPr>
          <w:rFonts w:hint="eastAsia" w:ascii="仿宋" w:hAnsi="仿宋" w:eastAsia="仿宋" w:cs="仿宋"/>
          <w:sz w:val="32"/>
          <w:szCs w:val="32"/>
          <w:lang w:val="en-US" w:eastAsia="zh-CN"/>
        </w:rPr>
      </w:pPr>
    </w:p>
    <w:p w14:paraId="750B700F">
      <w:pPr>
        <w:spacing w:line="560" w:lineRule="exact"/>
        <w:rPr>
          <w:rFonts w:hint="eastAsia" w:ascii="仿宋" w:hAnsi="仿宋" w:eastAsia="仿宋" w:cs="仿宋"/>
          <w:sz w:val="32"/>
          <w:szCs w:val="32"/>
          <w:lang w:val="en-US" w:eastAsia="zh-CN"/>
        </w:rPr>
      </w:pPr>
    </w:p>
    <w:p w14:paraId="740C5FBA">
      <w:pPr>
        <w:spacing w:line="560" w:lineRule="exact"/>
        <w:rPr>
          <w:rFonts w:hint="eastAsia" w:ascii="仿宋" w:hAnsi="仿宋" w:eastAsia="仿宋" w:cs="仿宋"/>
          <w:sz w:val="32"/>
          <w:szCs w:val="32"/>
          <w:lang w:val="en-US" w:eastAsia="zh-CN"/>
        </w:rPr>
      </w:pPr>
    </w:p>
    <w:p w14:paraId="4A632921">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图片信息：</w:t>
      </w:r>
    </w:p>
    <w:p w14:paraId="4615728D">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88000" cy="3829685"/>
            <wp:effectExtent l="0" t="0" r="12700" b="18415"/>
            <wp:docPr id="1" name="图片 1" descr="微信图片_2025031410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14105655"/>
                    <pic:cNvPicPr>
                      <a:picLocks noChangeAspect="1"/>
                    </pic:cNvPicPr>
                  </pic:nvPicPr>
                  <pic:blipFill>
                    <a:blip r:embed="rId6"/>
                    <a:stretch>
                      <a:fillRect/>
                    </a:stretch>
                  </pic:blipFill>
                  <pic:spPr>
                    <a:xfrm>
                      <a:off x="0" y="0"/>
                      <a:ext cx="5588000" cy="3829685"/>
                    </a:xfrm>
                    <a:prstGeom prst="rect">
                      <a:avLst/>
                    </a:prstGeom>
                  </pic:spPr>
                </pic:pic>
              </a:graphicData>
            </a:graphic>
          </wp:inline>
        </w:drawing>
      </w:r>
      <w:bookmarkStart w:id="0" w:name="_GoBack"/>
      <w:r>
        <w:rPr>
          <w:rFonts w:hint="eastAsia" w:ascii="仿宋" w:hAnsi="仿宋" w:eastAsia="仿宋" w:cs="仿宋"/>
          <w:sz w:val="32"/>
          <w:szCs w:val="32"/>
          <w:lang w:eastAsia="zh-CN"/>
        </w:rPr>
        <w:drawing>
          <wp:inline distT="0" distB="0" distL="114300" distR="114300">
            <wp:extent cx="5588000" cy="3743325"/>
            <wp:effectExtent l="0" t="0" r="12700" b="9525"/>
            <wp:docPr id="4" name="图片 4" descr="微信图片_2025031709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317093726"/>
                    <pic:cNvPicPr>
                      <a:picLocks noChangeAspect="1"/>
                    </pic:cNvPicPr>
                  </pic:nvPicPr>
                  <pic:blipFill>
                    <a:blip r:embed="rId7"/>
                    <a:stretch>
                      <a:fillRect/>
                    </a:stretch>
                  </pic:blipFill>
                  <pic:spPr>
                    <a:xfrm>
                      <a:off x="0" y="0"/>
                      <a:ext cx="5588000" cy="3743325"/>
                    </a:xfrm>
                    <a:prstGeom prst="rect">
                      <a:avLst/>
                    </a:prstGeom>
                  </pic:spPr>
                </pic:pic>
              </a:graphicData>
            </a:graphic>
          </wp:inline>
        </w:drawing>
      </w:r>
      <w:bookmarkEnd w:id="0"/>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18</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泰丰社区党总支组织党员干部集中观看党风廉政教育片《反腐为了人民》</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F4EC4096-F617-4436-B38B-FB59B26FDD5C}"/>
  </w:font>
  <w:font w:name="方正小标宋_GBK">
    <w:altName w:val="微软雅黑"/>
    <w:panose1 w:val="00000000000000000000"/>
    <w:charset w:val="86"/>
    <w:family w:val="auto"/>
    <w:pitch w:val="default"/>
    <w:sig w:usb0="00000000" w:usb1="00000000" w:usb2="00082016" w:usb3="00000000" w:csb0="00040001" w:csb1="00000000"/>
    <w:embedRegular r:id="rId2" w:fontKey="{A63869B9-BC7F-4957-A9E5-40D3BCC3A797}"/>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0442A35-1526-4208-8529-F7EE2092DB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2545A"/>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202DA0"/>
    <w:rsid w:val="10753BE6"/>
    <w:rsid w:val="10D373C2"/>
    <w:rsid w:val="11544F9B"/>
    <w:rsid w:val="11980763"/>
    <w:rsid w:val="11B46E29"/>
    <w:rsid w:val="125A61D1"/>
    <w:rsid w:val="131C47F2"/>
    <w:rsid w:val="13BB54AD"/>
    <w:rsid w:val="14B82589"/>
    <w:rsid w:val="14D26F15"/>
    <w:rsid w:val="165C6480"/>
    <w:rsid w:val="168A298B"/>
    <w:rsid w:val="17A233D4"/>
    <w:rsid w:val="18CC3CF5"/>
    <w:rsid w:val="18F35A71"/>
    <w:rsid w:val="197967D2"/>
    <w:rsid w:val="1B984559"/>
    <w:rsid w:val="1C1020A3"/>
    <w:rsid w:val="1D6A117F"/>
    <w:rsid w:val="1DD8389F"/>
    <w:rsid w:val="1E193E07"/>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9F4127"/>
    <w:rsid w:val="2FD74DA6"/>
    <w:rsid w:val="302B775F"/>
    <w:rsid w:val="303C1EE5"/>
    <w:rsid w:val="362E2D6B"/>
    <w:rsid w:val="363A655B"/>
    <w:rsid w:val="371A35F9"/>
    <w:rsid w:val="37DE6834"/>
    <w:rsid w:val="3B624424"/>
    <w:rsid w:val="3BAD0347"/>
    <w:rsid w:val="3C6468B2"/>
    <w:rsid w:val="3D396BB4"/>
    <w:rsid w:val="3E922888"/>
    <w:rsid w:val="3EE7033E"/>
    <w:rsid w:val="3F0E4CF3"/>
    <w:rsid w:val="3F1E5F06"/>
    <w:rsid w:val="40DD3535"/>
    <w:rsid w:val="40E55FE2"/>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400361D"/>
    <w:rsid w:val="543003CA"/>
    <w:rsid w:val="559764AC"/>
    <w:rsid w:val="576740A3"/>
    <w:rsid w:val="58642909"/>
    <w:rsid w:val="5876378F"/>
    <w:rsid w:val="588B0E53"/>
    <w:rsid w:val="58A5479C"/>
    <w:rsid w:val="58FE13AD"/>
    <w:rsid w:val="59900E2D"/>
    <w:rsid w:val="59DE0C3A"/>
    <w:rsid w:val="5A24288B"/>
    <w:rsid w:val="5A4F62D3"/>
    <w:rsid w:val="5CAB2053"/>
    <w:rsid w:val="5CD54A13"/>
    <w:rsid w:val="5D2948CC"/>
    <w:rsid w:val="5DCF5DA5"/>
    <w:rsid w:val="5FB014FF"/>
    <w:rsid w:val="5FEA2146"/>
    <w:rsid w:val="61241643"/>
    <w:rsid w:val="623E5559"/>
    <w:rsid w:val="6345120F"/>
    <w:rsid w:val="64233543"/>
    <w:rsid w:val="64A068EF"/>
    <w:rsid w:val="650959DB"/>
    <w:rsid w:val="67037AD2"/>
    <w:rsid w:val="674137AB"/>
    <w:rsid w:val="69302077"/>
    <w:rsid w:val="6945132D"/>
    <w:rsid w:val="699B2FCF"/>
    <w:rsid w:val="6A3871A4"/>
    <w:rsid w:val="6B0A42E2"/>
    <w:rsid w:val="6B554088"/>
    <w:rsid w:val="6B571AA1"/>
    <w:rsid w:val="6C3D217E"/>
    <w:rsid w:val="6CA74E9E"/>
    <w:rsid w:val="6DC07C95"/>
    <w:rsid w:val="6FB01257"/>
    <w:rsid w:val="705E2D7D"/>
    <w:rsid w:val="70CB707C"/>
    <w:rsid w:val="70EF01FA"/>
    <w:rsid w:val="70F02013"/>
    <w:rsid w:val="71304A1A"/>
    <w:rsid w:val="7130756E"/>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425</Words>
  <Characters>441</Characters>
  <Lines>2</Lines>
  <Paragraphs>1</Paragraphs>
  <TotalTime>3</TotalTime>
  <ScaleCrop>false</ScaleCrop>
  <LinksUpToDate>false</LinksUpToDate>
  <CharactersWithSpaces>466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Administrator</cp:lastModifiedBy>
  <cp:lastPrinted>2023-10-19T07:39:00Z</cp:lastPrinted>
  <dcterms:modified xsi:type="dcterms:W3CDTF">2025-03-17T02:47:30Z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eyJoZGlkIjoiNzIzYmI3NjYxYWMxZWIzZDdhMjQ4MDdjMmIzYzc2MjEifQ==</vt:lpwstr>
  </property>
</Properties>
</file>