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希望新城社区“三务”公开工作实施方案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步规范完善希望新城社区“三务”公开，增强决策及管理的透明度，结合我社区实际，制定“三务”公开工作方案如下：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以习近平新时代中国特色社会主义思想为指导，以维护和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保障党员、群众的知情权、监督权为出发点，强化对工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作目标、权力运行监督制约，不断促进党风廉政建设工作深入开展，为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希望新城社区的工作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发展营造良好的环境。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进一步规范公开内容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除涉及党和国家秘密的内容外，“三务”要最大限度地向社会和群众公开。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1、党务公开的主要内容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组织设置和人员分工情况，年度工作计划和目标完成情况，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党员民主评议情况，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党组织工作进展及完成情况，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党费收缴情况，党员发展及奖惩情况，党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党员大会涉及群众切身利益重大事项决策情况，承诺为群众办实事情况，参加上级党组织荣誉评比的类别、条件、方法、受到表彰奖励等情况，党员帮扶基金的发放和使用情况，困难党员帮扶和救助情况，上级党组织认为需要公开的其他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2、居务公开的主要内容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基层党组织组成及成员分工情况，年度工作目标及进展情况，落实上级工作部署情况，集体议定事项及落实情况，换届选举情况，社保、民政、计生等相关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相关业务口办理情况，群众普遍关心的热点焦点问题，其他需要公开事项。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三、公开程序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（一）确定内容。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结合工作实际，进一步细化、完善公开内容，凡是群众想知道的，或者涉及群众切身利益可以公开的，要全部详细地公开。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（二）审核审批。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干部整理纸质版公开材料，由社区书记进行审核把关后签字，送到街道分管业务领导处，分管领导审核材料通过签字后，在由街道保密领导审核材料签字，然后由相关工作人员进行线上（平台录入）线下同时公开，最后街道工作人员通过审核（平台录入）信息是否正确，正确录入成功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（三）归档管理。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坚持规范管理要求，对公开的信息资料应进行立卷归档，规范保存，做到平台信息、计算机存储、资料存档等内容一致，以便查阅。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四、公开时限及公开方式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（一）公开时限。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按照公开内容，一般分为固定公开、定期公开、即时公开。常规性工作固定公开，阶段性工作定期公开，临时性工作及时公开。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（二）公开方式。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以设置公开栏、召开会议（党员会议、居民代表会议等）和网络公开为必须的公开方式，可利用新媒体等不断拓宽公开渠道，方便群众了解和监督，提高公开效果。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把“三务”公开工作列入重要议事日程，切实加强</w:t>
      </w:r>
      <w:r>
        <w:rPr>
          <w:rFonts w:hint="eastAsia" w:ascii="仿宋" w:hAnsi="仿宋" w:eastAsia="仿宋" w:cs="仿宋"/>
          <w:sz w:val="32"/>
          <w:szCs w:val="32"/>
        </w:rPr>
        <w:t>领导，主要负责人是实行“三务”公开的第一责任人， 要从实际出发，精心都署，狠抓落实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。具体负责人</w:t>
      </w:r>
      <w:r>
        <w:rPr>
          <w:rFonts w:hint="eastAsia" w:ascii="仿宋" w:hAnsi="仿宋" w:eastAsia="仿宋" w:cs="仿宋"/>
          <w:sz w:val="32"/>
          <w:szCs w:val="32"/>
        </w:rPr>
        <w:t>要充分发挥职能作用，加强协调配合，扎实规范做好“三务”公开工作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(二)加强宣传教育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要加大宣传力度，提高思想认识，坚持正确的舆论导向，发挥典型示范作用，努力营造“三务”公开的良好氛围。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4BE57"/>
    <w:multiLevelType w:val="singleLevel"/>
    <w:tmpl w:val="1504BE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TEzNTQwMjBhMzFkYjgwMmQ5MmQ1YzRkZGUwYTIifQ=="/>
  </w:docVars>
  <w:rsids>
    <w:rsidRoot w:val="645A66BA"/>
    <w:rsid w:val="19C70C7D"/>
    <w:rsid w:val="1E9439EF"/>
    <w:rsid w:val="5DDC16C6"/>
    <w:rsid w:val="645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1717</Words>
  <Characters>1717</Characters>
  <Lines>0</Lines>
  <Paragraphs>0</Paragraphs>
  <TotalTime>15</TotalTime>
  <ScaleCrop>false</ScaleCrop>
  <LinksUpToDate>false</LinksUpToDate>
  <CharactersWithSpaces>1725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2022-12-27T01:06:00Z</dcterms:created>
  <dc:creator>Administrator</dc:creator>
  <cp:lastModifiedBy>鲍磊</cp:lastModifiedBy>
  <cp:lastPrinted>2023-02-10T02:35:00Z</cp:lastPrinted>
  <dcterms:modified xsi:type="dcterms:W3CDTF">2024-03-04T07:07:19Z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33D2F01441594657852119E36EDBE679_13</vt:lpwstr>
  </property>
</Properties>
</file>