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理论学习中心组第六次中心组学习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2024年4月25日，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电厂街道党工委开展理论学习中心组第六次中心组学习。此次中心组学习由贝春有书记主持，街道在家班子成员参加。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主要学习了《政府工作报告》《全国人民代表大会常务委员会工作报告》和《建设具有强大凝聚力和引领力的社会主义意识形态》《在通辽市创建全国民族团结进步示范市开发区动员会议上的讲话》等文件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会议强调：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要深入学习贯彻全国两会精神，不断提高政治站位，持续提升自身建设水平，聚焦解决群众急难愁盼问题。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要压紧压实意识形态工作责任制，筑牢意识形态工作的前沿阵地，不断推动意识形态各项工作任务落地见效。</w:t>
      </w: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要严格按照街道创建全国民族团结进步示范市任务分工，将民族团结进步融入日常工作的各个环节，把创建全国民族团结进步示范市的工作落实到位。</w:t>
      </w: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274310" cy="3955415"/>
            <wp:effectExtent l="0" t="0" r="2540" b="6985"/>
            <wp:docPr id="1" name="图片 1" descr="a819ed0a89132bb80e4e6a436bce0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819ed0a89132bb80e4e6a436bce0f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13D110D"/>
    <w:rsid w:val="073C0184"/>
    <w:rsid w:val="09E934BB"/>
    <w:rsid w:val="0A7964DD"/>
    <w:rsid w:val="0B2610D3"/>
    <w:rsid w:val="10B84553"/>
    <w:rsid w:val="11A37A34"/>
    <w:rsid w:val="17397720"/>
    <w:rsid w:val="30816D3E"/>
    <w:rsid w:val="330469C9"/>
    <w:rsid w:val="38926C3C"/>
    <w:rsid w:val="38A2575A"/>
    <w:rsid w:val="4DBF5582"/>
    <w:rsid w:val="508A784E"/>
    <w:rsid w:val="557E3F74"/>
    <w:rsid w:val="570861EB"/>
    <w:rsid w:val="5C1B042B"/>
    <w:rsid w:val="5D3D54A2"/>
    <w:rsid w:val="5D472E6F"/>
    <w:rsid w:val="656E7ADC"/>
    <w:rsid w:val="6FA82893"/>
    <w:rsid w:val="7AE6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autoRedefine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autoRedefine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2024-05-10T01:22:27Z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96331CA111F844B8A774A0B6623CC8CE_11</vt:lpwstr>
  </property>
</Properties>
</file>