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B1134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</w:t>
      </w:r>
      <w:r>
        <w:rPr>
          <w:rFonts w:hint="eastAsia" w:ascii="黑体" w:hAnsi="黑体" w:eastAsia="黑体" w:cs="黑体"/>
          <w:sz w:val="44"/>
          <w:szCs w:val="44"/>
        </w:rPr>
        <w:t>社区组织开展“两癌筛查进社区，关爱女性护健康”宣传活动</w:t>
      </w:r>
    </w:p>
    <w:p w14:paraId="022A95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为关爱女性健康，提升广大妇女健康意识，宣传健康理念，进一步提高社区适龄妇女“两癌”（宫颈癌、乳腺癌）的早诊早治率，把“我为群众办实事”的服务理念落到实处。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7月14日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宝贝河</w:t>
      </w:r>
      <w:r>
        <w:rPr>
          <w:rFonts w:hint="eastAsia" w:ascii="仿宋" w:hAnsi="仿宋" w:eastAsia="仿宋" w:cs="仿宋"/>
          <w:sz w:val="32"/>
          <w:szCs w:val="32"/>
        </w:rPr>
        <w:t>社区组织开展“两癌筛查进社区，关爱女性护健康”宣传活动。</w:t>
      </w:r>
    </w:p>
    <w:p w14:paraId="131F581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社区充分利用辖区宣传阵地，通过微信网格群、发放宣传彩页等线上线下的方式积极宣传、广泛动员，提高辖区妇女对“两癌”筛查知晓率。同时，网格员对妇女保健知识进行宣传和讲解，使社区妇女了解掌握乳腺癌、宫颈癌等妇科疾病防治知识，培养健康、文明、科学的生活方式。</w:t>
      </w:r>
    </w:p>
    <w:p w14:paraId="291D772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开展此次活动，使社区妇女群众对“两癌”筛查政策和防治知识有了全面了解，提升“两癌”筛查民生工程项目知晓率，倡导妇女群众培养健康的生活习惯，积极参加“两癌”筛查，做到早发现、早诊断、早治疗，护航女性健康。</w:t>
      </w:r>
    </w:p>
    <w:p w14:paraId="7289ACCB">
      <w:pPr>
        <w:rPr>
          <w:rFonts w:hint="eastAsia"/>
          <w:sz w:val="32"/>
          <w:szCs w:val="32"/>
          <w:lang w:eastAsia="zh-CN"/>
        </w:rPr>
      </w:pPr>
    </w:p>
    <w:p w14:paraId="4913B02F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2603500" cy="3887470"/>
            <wp:effectExtent l="0" t="0" r="0" b="0"/>
            <wp:docPr id="3" name="图片 3" descr="ff28c2b4c5b554f1d389e10ee62ce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28c2b4c5b554f1d389e10ee62ce4b"/>
                    <pic:cNvPicPr>
                      <a:picLocks noChangeAspect="1"/>
                    </pic:cNvPicPr>
                  </pic:nvPicPr>
                  <pic:blipFill>
                    <a:blip r:embed="rId4"/>
                    <a:srcRect t="9572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461260" cy="3867150"/>
            <wp:effectExtent l="0" t="0" r="15240" b="0"/>
            <wp:docPr id="4" name="图片 4" descr="6e7031b6c143d9c71469dfc605c5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e7031b6c143d9c71469dfc605c5b02"/>
                    <pic:cNvPicPr>
                      <a:picLocks noChangeAspect="1"/>
                    </pic:cNvPicPr>
                  </pic:nvPicPr>
                  <pic:blipFill>
                    <a:blip r:embed="rId5"/>
                    <a:srcRect t="10058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3640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</w:p>
    <w:p w14:paraId="45AFB4A6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r>
        <w:rPr>
          <w:rFonts w:hint="default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080000" cy="3147695"/>
            <wp:effectExtent l="0" t="0" r="6350" b="14605"/>
            <wp:docPr id="2" name="图片 2" descr="2020ce8b3c64d67adda49c7f7bae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ce8b3c64d67adda49c7f7bae515"/>
                    <pic:cNvPicPr>
                      <a:picLocks noChangeAspect="1"/>
                    </pic:cNvPicPr>
                  </pic:nvPicPr>
                  <pic:blipFill>
                    <a:blip r:embed="rId6"/>
                    <a:srcRect r="3154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8B51730"/>
    <w:rsid w:val="1ACF69C6"/>
    <w:rsid w:val="1F5A3295"/>
    <w:rsid w:val="3E616B4B"/>
    <w:rsid w:val="3F9029F2"/>
    <w:rsid w:val="52066AD9"/>
    <w:rsid w:val="5A2C28F7"/>
    <w:rsid w:val="5A30704C"/>
    <w:rsid w:val="7546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376</Characters>
  <Lines>0</Lines>
  <Paragraphs>0</Paragraphs>
  <TotalTime>5</TotalTime>
  <ScaleCrop>false</ScaleCrop>
  <LinksUpToDate>false</LinksUpToDate>
  <CharactersWithSpaces>376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2024-07-23T07:56:48Z</cp:lastPrinted>
  <dcterms:modified xsi:type="dcterms:W3CDTF">2024-07-23T07:57:45Z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81DC1E5B06F34AAFAF7BFB10A523B18F_13</vt:lpwstr>
  </property>
</Properties>
</file>