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9" w:leftChars="209" w:hanging="440" w:hanging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宝贝河社区党支部组织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召开警示教育会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878" w:leftChars="418"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观看警示教育片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主题党日活动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560" w:lineRule="exact"/>
        <w:ind w:left="0"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倡廉于有形，润心于无声。为加强党风廉政建设，提高党员干部拒腐防变能力和廉洁从业意识，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5月25日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上午，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宝贝河社区党支部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组织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召开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党风廉政警示教育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会、观看警示教育片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主题党日活动。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通过召开党纪警示教育会观看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警示教育片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警钟长鸣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》，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案例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真实记录了当事人丧失理想信念、玩忽职守“不作为”、落实上级决策“走过场”、漠视群众生命“不担当”，让生命线变成“夺命线”的过程。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beforeAutospacing="0" w:line="560" w:lineRule="exact"/>
        <w:ind w:lef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观看结束后，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党员干部、在职党员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  <w:t>围绕所观看的警示片进行讨论，大家一致表示：要从违纪违法案例中深刻吸取教训，时刻做到警钟长鸣；要坚持作风建设永远在路上，认真履职尽责，努力为群众解难题、办实事；要在思想意识上筑牢防腐之墙，时刻用党纪党规和法律约束自己，永远不碰触纪律和法律的“高压线”“底线”和“红线”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00" w:beforeAutospacing="0" w:line="240" w:lineRule="auto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0065691c7ebe96bc05f59a934d91c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5691c7ebe96bc05f59a934d91c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70a37446abae9393a4491340b4a21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0a37446abae9393a4491340b4a21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02D875AF"/>
    <w:rsid w:val="663F3D84"/>
    <w:rsid w:val="6861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357</Characters>
  <Lines>0</Lines>
  <Paragraphs>0</Paragraphs>
  <TotalTime>38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2024-05-23T02:06:00Z</dcterms:created>
  <dc:creator>Administrator</dc:creator>
  <cp:lastModifiedBy>Administrator</cp:lastModifiedBy>
  <cp:lastPrinted>2024-05-27T00:22:31Z</cp:lastPrinted>
  <dcterms:modified xsi:type="dcterms:W3CDTF">2024-05-27T00:26:48Z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E29873528D4D4CC695B7D8D94E18BA35_13</vt:lpwstr>
  </property>
</Properties>
</file>