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46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</w:rPr>
        <w:t>3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</w:t>
      </w:r>
      <w:r>
        <w:rPr>
          <w:rStyle w:val="13"/>
          <w:rFonts w:hint="eastAsia" w:eastAsia="方正小标宋简体"/>
          <w:lang w:val="en-US" w:eastAsia="zh-CN"/>
        </w:rPr>
        <w:t>党总支</w:t>
      </w:r>
      <w:r>
        <w:rPr>
          <w:rStyle w:val="13"/>
          <w:rFonts w:hint="eastAsia"/>
          <w:lang w:val="en-US" w:eastAsia="zh-CN"/>
        </w:rPr>
        <w:t>集中学习习近平总书记关于加快构建新发展格局，着力推动高质量发展重要论述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为进一步深入学习宣传贯彻党的二十大精神，推动党的理论政策深入人心，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总支部委员会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集中学习习近平总书记关于加快构建新发展格局，着力推动高质量发展重要论述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韩秀萍通过宣讲，以“加快构建新发展格局 着力推动高质量发展”为题，详细介绍了如何学习党的二十大报告精神，从实践基础：新时代十年伟大变革、首要任务：推动实现高质量发展、根本途径：加快构建新发展格局三个方面对党的二十大提出的新思想、新观点、新部署、新要求作了系统阐述和分析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高质量发展是全面建设社会主义现代化国家的首要任务，这离不开广大党员群众共同的团结奋斗，而实现这一目标也必然是所有党员群众团结奋斗的结果。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泰丰社区党总支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会不断以广大群众日益增长的美好生活需要为奋斗目标，坚持问题导向和目标导向，把解决实际问题作为打开工作局面的突破口，为实现高质量发展和加快构建新发展格局添薪聚力。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4020820</wp:posOffset>
            </wp:positionV>
            <wp:extent cx="5565775" cy="3736340"/>
            <wp:effectExtent l="0" t="0" r="15875" b="16510"/>
            <wp:wrapSquare wrapText="bothSides"/>
            <wp:docPr id="1" name="图片 1" descr="微信图片_20231228150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81505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736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61595</wp:posOffset>
            </wp:positionV>
            <wp:extent cx="5565775" cy="3584575"/>
            <wp:effectExtent l="0" t="0" r="15875" b="15875"/>
            <wp:wrapSquare wrapText="bothSides"/>
            <wp:docPr id="4" name="图片 4" descr="微信图片_20231228093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12280933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58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泰丰社区党总支集中学习习近平总书记关于 加快构建新发展格局，着力推动高质量发展重要论述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DCD664D-7E2B-4390-B494-F81AE91B7D7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287E6CBF-E3BB-4463-832B-E499D42165D7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C48006C-E76B-45C9-B794-9517B08DE32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14100A7"/>
    <w:rsid w:val="024E1A5B"/>
    <w:rsid w:val="0285577A"/>
    <w:rsid w:val="02B74B5C"/>
    <w:rsid w:val="02F101C3"/>
    <w:rsid w:val="03487954"/>
    <w:rsid w:val="03B25FAC"/>
    <w:rsid w:val="045E13D2"/>
    <w:rsid w:val="0524442A"/>
    <w:rsid w:val="05D32211"/>
    <w:rsid w:val="06C23818"/>
    <w:rsid w:val="0780553F"/>
    <w:rsid w:val="0859720F"/>
    <w:rsid w:val="093E5AEC"/>
    <w:rsid w:val="0A230F14"/>
    <w:rsid w:val="0A8F7E8E"/>
    <w:rsid w:val="0AAA3F4C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3FFD193E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5E25E8E"/>
    <w:rsid w:val="76976030"/>
    <w:rsid w:val="773D5F44"/>
    <w:rsid w:val="77FD76BA"/>
    <w:rsid w:val="7A121BA2"/>
    <w:rsid w:val="7A406902"/>
    <w:rsid w:val="7A5F688F"/>
    <w:rsid w:val="7AC71ED2"/>
    <w:rsid w:val="7BE47E5A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0</TotalTime>
  <ScaleCrop>false</ScaleCrop>
  <LinksUpToDate>false</LinksUpToDate>
  <CharactersWithSpaces>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2024-01-08T01:28:14Z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C9C7652915A6448B9F4FAD3883BAC9A2</vt:lpwstr>
  </property>
</Properties>
</file>