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Calibri" w:hAnsi="Calibri" w:eastAsia="宋体" w:cs="Times New Roman"/>
          <w:sz w:val="32"/>
          <w:szCs w:val="32"/>
        </w:rPr>
      </w:pPr>
    </w:p>
    <w:p>
      <w:pPr>
        <w:spacing w:line="520" w:lineRule="exact"/>
        <w:jc w:val="center"/>
        <w:rPr>
          <w:rFonts w:hint="eastAsia" w:ascii="Calibri" w:hAnsi="Calibri" w:eastAsia="宋体" w:cs="Times New Roman"/>
          <w:sz w:val="32"/>
          <w:szCs w:val="32"/>
        </w:rPr>
      </w:pPr>
    </w:p>
    <w:p>
      <w:pPr>
        <w:spacing w:line="520" w:lineRule="exact"/>
        <w:jc w:val="center"/>
        <w:rPr>
          <w:rFonts w:hint="eastAsia" w:ascii="Calibri" w:hAnsi="Calibri" w:eastAsia="宋体" w:cs="Times New Roman"/>
          <w:sz w:val="32"/>
          <w:szCs w:val="32"/>
        </w:rPr>
      </w:pPr>
    </w:p>
    <w:p>
      <w:pPr>
        <w:spacing w:line="520" w:lineRule="exact"/>
        <w:jc w:val="center"/>
        <w:rPr>
          <w:rFonts w:hint="eastAsia" w:ascii="Calibri" w:hAnsi="Calibri" w:eastAsia="宋体" w:cs="Times New Roman"/>
          <w:sz w:val="32"/>
          <w:szCs w:val="32"/>
        </w:rPr>
      </w:pPr>
    </w:p>
    <w:p>
      <w:pPr>
        <w:spacing w:line="520" w:lineRule="exact"/>
        <w:rPr>
          <w:rFonts w:hint="eastAsia"/>
          <w:sz w:val="32"/>
          <w:szCs w:val="32"/>
        </w:rPr>
      </w:pPr>
    </w:p>
    <w:p>
      <w:pPr>
        <w:spacing w:line="520" w:lineRule="exact"/>
        <w:rPr>
          <w:rFonts w:hint="eastAsia"/>
          <w:sz w:val="32"/>
          <w:szCs w:val="32"/>
        </w:rPr>
      </w:pPr>
    </w:p>
    <w:p>
      <w:pPr>
        <w:spacing w:line="520" w:lineRule="exact"/>
        <w:rPr>
          <w:rFonts w:hint="eastAsia"/>
          <w:sz w:val="32"/>
          <w:szCs w:val="32"/>
        </w:rPr>
      </w:pPr>
    </w:p>
    <w:p>
      <w:pPr>
        <w:spacing w:line="520" w:lineRule="exact"/>
        <w:rPr>
          <w:rFonts w:hint="eastAsia" w:cs="Times New Roman"/>
          <w:sz w:val="32"/>
          <w:szCs w:val="32"/>
          <w:lang w:val="en-US" w:eastAsia="zh-CN"/>
        </w:rPr>
      </w:pPr>
    </w:p>
    <w:p>
      <w:pPr>
        <w:spacing w:line="520" w:lineRule="exact"/>
        <w:rPr>
          <w:rFonts w:hint="eastAsia" w:cs="Times New Roman"/>
          <w:sz w:val="32"/>
          <w:szCs w:val="32"/>
          <w:lang w:val="en-US" w:eastAsia="zh-CN"/>
        </w:rPr>
      </w:pPr>
    </w:p>
    <w:p>
      <w:pPr>
        <w:spacing w:line="500" w:lineRule="exact"/>
        <w:rPr>
          <w:rFonts w:hint="eastAsia" w:ascii="Calibri" w:hAnsi="Calibri" w:eastAsia="宋体" w:cs="Times New Roman"/>
          <w:sz w:val="44"/>
          <w:szCs w:val="44"/>
        </w:rPr>
      </w:pPr>
    </w:p>
    <w:p>
      <w:pPr>
        <w:spacing w:line="500" w:lineRule="exact"/>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rPr>
        <w:t>通经技财</w:t>
      </w:r>
      <w:r>
        <w:rPr>
          <w:rFonts w:hint="eastAsia" w:ascii="仿宋" w:hAnsi="仿宋" w:eastAsia="仿宋" w:cs="仿宋"/>
          <w:b/>
          <w:bCs/>
          <w:color w:val="000000"/>
          <w:sz w:val="32"/>
          <w:szCs w:val="32"/>
          <w:lang w:eastAsia="zh-CN"/>
        </w:rPr>
        <w:t>字</w:t>
      </w:r>
      <w:r>
        <w:rPr>
          <w:rFonts w:hint="eastAsia" w:ascii="仿宋" w:hAnsi="仿宋" w:eastAsia="仿宋" w:cs="仿宋"/>
          <w:b/>
          <w:bCs/>
          <w:color w:val="000000"/>
          <w:sz w:val="32"/>
          <w:szCs w:val="32"/>
        </w:rPr>
        <w:t>〔20</w:t>
      </w:r>
      <w:r>
        <w:rPr>
          <w:rFonts w:hint="eastAsia" w:ascii="仿宋" w:hAnsi="仿宋" w:eastAsia="仿宋" w:cs="仿宋"/>
          <w:b/>
          <w:bCs/>
          <w:color w:val="000000"/>
          <w:sz w:val="32"/>
          <w:szCs w:val="32"/>
          <w:lang w:val="en-US" w:eastAsia="zh-CN"/>
        </w:rPr>
        <w:t>23</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159</w:t>
      </w:r>
      <w:r>
        <w:rPr>
          <w:rFonts w:hint="eastAsia" w:ascii="仿宋" w:hAnsi="仿宋" w:eastAsia="仿宋" w:cs="仿宋"/>
          <w:b/>
          <w:bCs/>
          <w:color w:val="000000"/>
          <w:sz w:val="32"/>
          <w:szCs w:val="32"/>
        </w:rPr>
        <w:t>号</w:t>
      </w:r>
    </w:p>
    <w:p>
      <w:pPr>
        <w:spacing w:line="500" w:lineRule="exact"/>
        <w:jc w:val="center"/>
        <w:rPr>
          <w:rFonts w:hint="eastAsia" w:ascii="仿宋" w:hAnsi="仿宋" w:eastAsia="仿宋" w:cs="仿宋"/>
          <w:color w:val="000000"/>
          <w:sz w:val="32"/>
          <w:szCs w:val="32"/>
        </w:rPr>
      </w:pPr>
    </w:p>
    <w:p>
      <w:pPr>
        <w:spacing w:line="500" w:lineRule="exact"/>
        <w:jc w:val="center"/>
        <w:rPr>
          <w:rFonts w:hint="eastAsia" w:ascii="仿宋" w:hAnsi="仿宋" w:eastAsia="仿宋" w:cs="仿宋"/>
          <w:color w:val="000000"/>
          <w:sz w:val="32"/>
          <w:szCs w:val="32"/>
        </w:rPr>
      </w:pP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关于开展开发区政府采购代理机构</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监督评价工作的通知</w:t>
      </w:r>
    </w:p>
    <w:bookmarkEnd w:id="0"/>
    <w:p>
      <w:pPr>
        <w:jc w:val="center"/>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各社会采购代理机构：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为依法加强政府采购监督管理，规范政府采购代理机构执业行为，结合开发区实际情况，现将政府采购代理机构监督评价事项通知如下：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一、监督评价范围及内容：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本次监督评价工作按照纵向联动、统一标准、分级检查、依法处理的原则，开发区财政国资局对做过2022年开发区本级政府采购项目的代理机构进行监督评价。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监督评价涵盖政府采购活动的全过程。在采购流程上，主要包括委托代理、文件编制、进口核准、方式变更、信息公告、评审过程、中标成交、保证金、合同管理、质疑答复等十个方面内容。依据评价指标体系对参加评价单位相关情况开展评价工作，评价指标体系主要包括企业基本情况、业绩与人员情况、管理情况、失信与处理处罚情况4个一级指标以及11个二级指标，根据企业从业人员数量、业绩等因素，按照成长型、综合型两类进行分别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二、监督评价工作时间安排：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监督评价工作时间从2023年7月开始，采取多种形式相结合的方式开展，具体安排如下：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材料报送阶段（7月15日至7月30日）：</w:t>
      </w:r>
      <w:r>
        <w:rPr>
          <w:rFonts w:hint="eastAsia" w:ascii="仿宋" w:hAnsi="仿宋" w:eastAsia="仿宋" w:cs="仿宋"/>
          <w:sz w:val="32"/>
          <w:szCs w:val="32"/>
          <w:lang w:val="en-US" w:eastAsia="zh-CN"/>
        </w:rPr>
        <w:t>被评价单位根据通知要求，整理被评价2022年度政府采购项目相关的文件、数据和资料，对照以上资料形成2022年度执业情况自查报告，同时参照全国政府采购代理机构评价指标体系进行评分，自查报告和评分表的纸质版于7月30日前报送财政部门（同时将电子版发至邮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材料审查阶段（7月31日至9月3日）：</w:t>
      </w:r>
      <w:r>
        <w:rPr>
          <w:rFonts w:hint="eastAsia" w:ascii="仿宋" w:hAnsi="仿宋" w:eastAsia="仿宋" w:cs="仿宋"/>
          <w:b w:val="0"/>
          <w:bCs w:val="0"/>
          <w:sz w:val="32"/>
          <w:szCs w:val="32"/>
          <w:lang w:val="en-US" w:eastAsia="zh-CN"/>
        </w:rPr>
        <w:t>评价</w:t>
      </w:r>
      <w:r>
        <w:rPr>
          <w:rFonts w:hint="eastAsia" w:ascii="仿宋" w:hAnsi="仿宋" w:eastAsia="仿宋" w:cs="仿宋"/>
          <w:sz w:val="32"/>
          <w:szCs w:val="32"/>
          <w:lang w:val="en-US" w:eastAsia="zh-CN"/>
        </w:rPr>
        <w:t>工作小组对被评价单位评标过程中的材料进行审查，对照评价指标体系初步掌握采购项目的操作执行情况，编制工作底稿。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现场监督评价阶段（9月3日至9月10日）：</w:t>
      </w:r>
      <w:r>
        <w:rPr>
          <w:rFonts w:hint="eastAsia" w:ascii="仿宋" w:hAnsi="仿宋" w:eastAsia="仿宋" w:cs="仿宋"/>
          <w:sz w:val="32"/>
          <w:szCs w:val="32"/>
          <w:lang w:val="en-US" w:eastAsia="zh-CN"/>
        </w:rPr>
        <w:t>结合书面材料和各代理机构自评报告，评价工作组进一步到被评价单位实施现场检查。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处理处罚阶段（9月11日至9月17日）：</w:t>
      </w:r>
      <w:r>
        <w:rPr>
          <w:rFonts w:hint="eastAsia" w:ascii="仿宋" w:hAnsi="仿宋" w:eastAsia="仿宋" w:cs="仿宋"/>
          <w:sz w:val="32"/>
          <w:szCs w:val="32"/>
          <w:lang w:val="en-US" w:eastAsia="zh-CN"/>
        </w:rPr>
        <w:t>财政部门对监督评价中发现的采购人、政府采购代理机构和评审专家的违法线索进行延伸检查，对查实的违法违规行为依法作出处理处罚。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汇总报告阶段（9月18日至9月28日）：</w:t>
      </w:r>
      <w:r>
        <w:rPr>
          <w:rFonts w:hint="eastAsia" w:ascii="仿宋" w:hAnsi="仿宋" w:eastAsia="仿宋" w:cs="仿宋"/>
          <w:sz w:val="32"/>
          <w:szCs w:val="32"/>
          <w:lang w:val="en-US" w:eastAsia="zh-CN"/>
        </w:rPr>
        <w:t>财政部门根据监督评价情况形成本级监督评价工作报告。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代理机构要高度重视本次监督评价工作，认真做好准备工作，积极配合监督评价组的工作，保证提供材料的真实性、完整性和规范性。在监督评价过程中，若发现代理机构存在提报项目不全、瞒报漏报、修改档案材料等问题，将依法给予处理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四、监督评价工作组成员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组长：于慧军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组员：安晓颖 梁湃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联系电话：0475-8628167</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办公地址：创业大厦1512办公室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"mailto:tlkfqzfcg@163.com"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tongliao</w:t>
      </w:r>
      <w:r>
        <w:rPr>
          <w:rStyle w:val="14"/>
          <w:rFonts w:hint="eastAsia" w:ascii="仿宋" w:hAnsi="仿宋" w:eastAsia="仿宋" w:cs="仿宋"/>
          <w:color w:val="000000" w:themeColor="text1"/>
          <w:sz w:val="32"/>
          <w:szCs w:val="32"/>
          <w:u w:val="none"/>
          <w:lang w:val="en-US" w:eastAsia="zh-CN"/>
        </w:rPr>
        <w:t>kfqzfcg@163.com</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附件：1.代理机构监督评价依据文件清单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2.开发区监督评价代理机构名单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3.政府采购代理机构评价指标体系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98"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98"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98"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2023年7月14日</w:t>
      </w:r>
    </w:p>
    <w:p>
      <w:pPr>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sz w:val="32"/>
          <w:szCs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sz w:val="32"/>
          <w:szCs w:val="32"/>
          <w:u w:val="single" w:color="auto"/>
          <w:lang w:val="en-US" w:eastAsia="zh-CN"/>
        </w:rPr>
      </w:pPr>
      <w:r>
        <w:rPr>
          <w:rFonts w:hint="eastAsia" w:ascii="仿宋" w:hAnsi="仿宋" w:eastAsia="仿宋"/>
          <w:sz w:val="32"/>
          <w:szCs w:val="32"/>
          <w:u w:val="single" w:color="auto"/>
          <w:lang w:val="en-US" w:eastAsia="zh-CN"/>
        </w:rPr>
        <w:t xml:space="preserve">信息公开选项：主动公开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8"/>
          <w:szCs w:val="28"/>
          <w:lang w:val="en-US" w:eastAsia="zh-CN"/>
        </w:rPr>
      </w:pPr>
      <w:r>
        <w:rPr>
          <w:rFonts w:hint="eastAsia" w:ascii="仿宋" w:hAnsi="仿宋" w:eastAsia="仿宋"/>
          <w:sz w:val="32"/>
          <w:szCs w:val="32"/>
          <w:u w:val="single" w:color="auto"/>
          <w:lang w:val="en-US" w:eastAsia="zh-CN"/>
        </w:rPr>
        <w:t>通辽经济技术开发区财政国资局    2023年7月14日印发</w:t>
      </w:r>
    </w:p>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附件1</w:t>
      </w:r>
    </w:p>
    <w:p>
      <w:pPr>
        <w:ind w:firstLine="720" w:firstLineChars="200"/>
        <w:jc w:val="both"/>
        <w:rPr>
          <w:rFonts w:hint="default"/>
          <w:sz w:val="36"/>
          <w:szCs w:val="36"/>
          <w:lang w:val="en-US" w:eastAsia="zh-CN"/>
        </w:rPr>
      </w:pPr>
      <w:r>
        <w:rPr>
          <w:rFonts w:hint="eastAsia"/>
          <w:sz w:val="36"/>
          <w:szCs w:val="36"/>
          <w:lang w:val="en-US" w:eastAsia="zh-CN"/>
        </w:rPr>
        <w:t>政府采购代理机构监督评价工作依据文件清单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1.《中华人民共和国政府采购法》;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2.《中华人民共和国政府采购法实施条例》;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3.《政府采购信息发布管理办法》(财政部令第101号);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4.《政府采购非招标采购方式管理办法》(财政部令第74号)；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5《政府采购货物和服务招标投标管理办法》(财政部令第87号);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6.《政府采购质疑和投诉办法》(财政部令第94号);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7.《政府采购代理机构管理暂行办法》(财库〔2018〕2号);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8.《政府采购竞争性磋商采购方式管理暂行办法》(财库〔2014〕214号);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9.《关于政府采购竞争性磋商采购方式管理暂行办法有关问题的补充通知》(财库〔2015〕124号);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10.《关于做好政府采购信息公开工作的通知》(财库〔2015〕135号);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11.《关于进一步做好政府采购信息公开工作有关事项的通知》(财库〔2017〕86号);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13.《关于推进和完善服务项目政府采购有关问题的通知》(财库〔2014〕37号);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14.《政府和社会资本合作项目政府采购管理办法》(财库〔2014〕215号);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15.《财政部关于进一步规范政府采购评审工作有关问题的通知》(财库〔2012〕69号);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16.《政府采购评审专家管理办法》(财库〔2016〕198号):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17.《关于进一步加强政府采购需求和履约验收管理的指导意见》(财库〔2016〕205号);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18.《关于印发&lt;政府采购进口产品管理办法&gt;的通知》(财库〔2007〕119号);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19.《关于政府采购进口产品管理有关问题的通知》(财办库〔2008〕248号);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23.关于印发《政府采购促进中小企业发展管理办法》的通知财库〔2020〕46号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26.《关于加强政府采购供应商投诉受理审查工作的通知》(财库〔2007〕1号);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27.《关于明确政府采购保证金和行政处罚罚款上缴事项的通知》(财库〔2011〕15号);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28.《关于&lt;中华人民共和国政府采购法实施条例&gt;第十八条第二款法律适用的函》(财办库〔2015〕295号):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29.《关于转发国务院法制办公室&lt;对政府采购工程项目法律适用及申领施工许可证问题的答复&gt;的通知》(财办库〔2015〕352号);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30.《关于未达到公开招标数额标准政府采购项目采购方式适用等问题的函》(财办库〔2015〕111号);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31.《关于规范政府采购行政处罚有关问题的通知》(财库〔2015〕150号);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34.《财政部发展改革委生态环境部市场监管总局关于调整优化节能产品环境标志产品政府采购执行机制的通知》(财库〔2019〕9号)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35.其他政府采购制度办法。</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default"/>
          <w:sz w:val="28"/>
          <w:szCs w:val="28"/>
          <w:lang w:val="en-US" w:eastAsia="zh-CN"/>
        </w:rPr>
      </w:pPr>
      <w:r>
        <w:rPr>
          <w:rFonts w:hint="eastAsia"/>
          <w:sz w:val="28"/>
          <w:szCs w:val="28"/>
          <w:lang w:val="en-US" w:eastAsia="zh-CN"/>
        </w:rPr>
        <w:t>附件2</w:t>
      </w:r>
    </w:p>
    <w:p>
      <w:pPr>
        <w:jc w:val="center"/>
        <w:rPr>
          <w:rFonts w:hint="eastAsia"/>
          <w:sz w:val="36"/>
          <w:szCs w:val="36"/>
          <w:lang w:val="en-US" w:eastAsia="zh-CN"/>
        </w:rPr>
      </w:pPr>
      <w:r>
        <w:rPr>
          <w:rFonts w:hint="eastAsia"/>
          <w:sz w:val="36"/>
          <w:szCs w:val="36"/>
          <w:lang w:val="en-US" w:eastAsia="zh-CN"/>
        </w:rPr>
        <w:t>开发区监督评价代理机构名单</w:t>
      </w:r>
    </w:p>
    <w:p>
      <w:pPr>
        <w:jc w:val="center"/>
        <w:rPr>
          <w:rFonts w:hint="eastAsia"/>
          <w:sz w:val="36"/>
          <w:szCs w:val="36"/>
          <w:lang w:val="en-US" w:eastAsia="zh-CN"/>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7725" w:type="dxa"/>
            <w:noWrap w:val="0"/>
            <w:vAlign w:val="center"/>
          </w:tcPr>
          <w:p>
            <w:pPr>
              <w:tabs>
                <w:tab w:val="left" w:pos="643"/>
              </w:tabs>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内蒙古明信招标有限责任公司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通辽市诚信建设工程招标代理有限责任公司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tabs>
                <w:tab w:val="left" w:pos="568"/>
              </w:tabs>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中盛精诚工程项目管理有限公司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tabs>
                <w:tab w:val="left" w:pos="238"/>
              </w:tabs>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7725" w:type="dxa"/>
            <w:noWrap w:val="0"/>
            <w:vAlign w:val="center"/>
          </w:tcPr>
          <w:p>
            <w:pPr>
              <w:keepNext w:val="0"/>
              <w:keepLines w:val="0"/>
              <w:widowControl/>
              <w:suppressLineNumbers w:val="0"/>
              <w:tabs>
                <w:tab w:val="left" w:pos="2986"/>
              </w:tabs>
              <w:ind w:firstLine="2240" w:firstLineChars="800"/>
              <w:jc w:val="left"/>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华睿诚项目管理有限公司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内蒙古沣元项目管理有限公司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内蒙古北投项目管理有限公司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中轩项目管理有限公司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内蒙古和信泰工程项目管理有限公司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正大鹏安建设项目管理有限公司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呼伦贝尔远创项目管理有限责任公司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通辽市方正建设工程招标代理有限责任公司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内蒙古汇通工程项目管理有限公司</w:t>
            </w:r>
          </w:p>
        </w:tc>
      </w:tr>
    </w:tbl>
    <w:p>
      <w:pPr>
        <w:jc w:val="center"/>
        <w:rPr>
          <w:rFonts w:hint="eastAsia"/>
          <w:sz w:val="36"/>
          <w:szCs w:val="36"/>
          <w:lang w:val="en-US" w:eastAsia="zh-CN"/>
        </w:rPr>
      </w:pPr>
    </w:p>
    <w:p>
      <w:pPr>
        <w:jc w:val="center"/>
        <w:rPr>
          <w:rFonts w:hint="eastAsia"/>
          <w:sz w:val="36"/>
          <w:szCs w:val="36"/>
          <w:lang w:val="en-US" w:eastAsia="zh-CN"/>
        </w:rPr>
      </w:pPr>
      <w:r>
        <w:rPr>
          <w:rFonts w:hint="eastAsia"/>
          <w:sz w:val="36"/>
          <w:szCs w:val="36"/>
          <w:lang w:val="en-US" w:eastAsia="zh-CN"/>
        </w:rPr>
        <w:t>开发区监督评价代理机构名单</w:t>
      </w:r>
    </w:p>
    <w:p>
      <w:pPr>
        <w:jc w:val="center"/>
        <w:rPr>
          <w:rFonts w:hint="eastAsia"/>
          <w:sz w:val="36"/>
          <w:szCs w:val="36"/>
          <w:lang w:val="en-US" w:eastAsia="zh-CN"/>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7725" w:type="dxa"/>
            <w:noWrap w:val="0"/>
            <w:vAlign w:val="center"/>
          </w:tcPr>
          <w:p>
            <w:pPr>
              <w:tabs>
                <w:tab w:val="left" w:pos="643"/>
              </w:tabs>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中恒一信项目管理咨询有限公司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中大宇辰项目管理有限公司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tabs>
                <w:tab w:val="left" w:pos="568"/>
              </w:tabs>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深圳市华睿项目管理有限公司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tabs>
                <w:tab w:val="left" w:pos="238"/>
              </w:tabs>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7725" w:type="dxa"/>
            <w:noWrap w:val="0"/>
            <w:vAlign w:val="center"/>
          </w:tcPr>
          <w:p>
            <w:pPr>
              <w:keepNext w:val="0"/>
              <w:keepLines w:val="0"/>
              <w:widowControl/>
              <w:suppressLineNumbers w:val="0"/>
              <w:tabs>
                <w:tab w:val="left" w:pos="2986"/>
              </w:tabs>
              <w:ind w:firstLine="1680" w:firstLineChars="600"/>
              <w:jc w:val="left"/>
              <w:textAlignment w:val="bottom"/>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内蒙古政研绩效评价咨询有限公司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75" w:type="dxa"/>
            <w:noWrap w:val="0"/>
            <w:vAlign w:val="center"/>
          </w:tcPr>
          <w:p>
            <w:pPr>
              <w:jc w:val="center"/>
              <w:rPr>
                <w:rFonts w:hint="default" w:ascii="仿宋_GB2312" w:hAnsi="仿宋_GB2312" w:eastAsia="仿宋_GB2312" w:cs="仿宋_GB2312"/>
                <w:sz w:val="28"/>
                <w:szCs w:val="28"/>
                <w:vertAlign w:val="baseline"/>
                <w:lang w:val="en-US" w:eastAsia="zh-CN"/>
              </w:rPr>
            </w:pPr>
          </w:p>
        </w:tc>
        <w:tc>
          <w:tcPr>
            <w:tcW w:w="7725" w:type="dxa"/>
            <w:noWrap w:val="0"/>
            <w:vAlign w:val="center"/>
          </w:tcPr>
          <w:p>
            <w:pPr>
              <w:keepNext w:val="0"/>
              <w:keepLines w:val="0"/>
              <w:widowControl/>
              <w:suppressLineNumbers w:val="0"/>
              <w:jc w:val="center"/>
              <w:textAlignment w:val="bottom"/>
              <w:rPr>
                <w:rFonts w:hint="eastAsia" w:ascii="仿宋_GB2312" w:hAnsi="仿宋_GB2312" w:eastAsia="仿宋_GB2312" w:cs="仿宋_GB2312"/>
                <w:color w:val="auto"/>
                <w:sz w:val="28"/>
                <w:szCs w:val="28"/>
                <w:vertAlign w:val="baseline"/>
                <w:lang w:val="en-US" w:eastAsia="zh-CN"/>
              </w:rPr>
            </w:pPr>
          </w:p>
        </w:tc>
      </w:tr>
    </w:tbl>
    <w:p>
      <w:pPr>
        <w:jc w:val="both"/>
        <w:rPr>
          <w:rFonts w:hint="eastAsia" w:ascii="仿宋" w:hAnsi="仿宋" w:eastAsia="仿宋"/>
          <w:sz w:val="32"/>
          <w:szCs w:val="32"/>
          <w:u w:val="single" w:color="auto"/>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000000"/>
    <w:rsid w:val="00F226A5"/>
    <w:rsid w:val="0C2F236F"/>
    <w:rsid w:val="0DFE4799"/>
    <w:rsid w:val="17BB2ABB"/>
    <w:rsid w:val="1CF17B2C"/>
    <w:rsid w:val="25663C01"/>
    <w:rsid w:val="25D70DFF"/>
    <w:rsid w:val="278D611F"/>
    <w:rsid w:val="2A767F51"/>
    <w:rsid w:val="2D383834"/>
    <w:rsid w:val="311C7338"/>
    <w:rsid w:val="391664A0"/>
    <w:rsid w:val="3B0D7530"/>
    <w:rsid w:val="3E563EC5"/>
    <w:rsid w:val="3F1735F3"/>
    <w:rsid w:val="3F531579"/>
    <w:rsid w:val="43886EB9"/>
    <w:rsid w:val="464B4B11"/>
    <w:rsid w:val="47FC6DA3"/>
    <w:rsid w:val="494C4790"/>
    <w:rsid w:val="4B4E3AC4"/>
    <w:rsid w:val="577F625F"/>
    <w:rsid w:val="5792172A"/>
    <w:rsid w:val="586F454A"/>
    <w:rsid w:val="5ADF413A"/>
    <w:rsid w:val="5C2A3C2E"/>
    <w:rsid w:val="5CA01C0B"/>
    <w:rsid w:val="5FF04AE6"/>
    <w:rsid w:val="6217019D"/>
    <w:rsid w:val="62AF46F4"/>
    <w:rsid w:val="676269A2"/>
    <w:rsid w:val="699E2677"/>
    <w:rsid w:val="6B8A60D7"/>
    <w:rsid w:val="6C2644C6"/>
    <w:rsid w:val="6CC8539E"/>
    <w:rsid w:val="6D34752F"/>
    <w:rsid w:val="6E144C58"/>
    <w:rsid w:val="719A58D2"/>
    <w:rsid w:val="762133DA"/>
    <w:rsid w:val="7C013903"/>
    <w:rsid w:val="7D5842D0"/>
    <w:rsid w:val="7E4F74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widowControl/>
      <w:adjustRightInd w:val="0"/>
      <w:snapToGrid w:val="0"/>
      <w:spacing w:line="360" w:lineRule="auto"/>
    </w:pPr>
    <w:rPr>
      <w:rFonts w:ascii="仿宋_GB2312" w:hAnsi="宋体" w:eastAsia="仿宋_GB2312"/>
      <w:kern w:val="0"/>
      <w:sz w:val="28"/>
    </w:rPr>
  </w:style>
  <w:style w:type="paragraph" w:styleId="3">
    <w:name w:val="Body Text Indent"/>
    <w:basedOn w:val="1"/>
    <w:semiHidden/>
    <w:unhideWhenUsed/>
    <w:qFormat/>
    <w:uiPriority w:val="0"/>
    <w:pPr>
      <w:autoSpaceDE w:val="0"/>
      <w:autoSpaceDN w:val="0"/>
      <w:adjustRightInd w:val="0"/>
      <w:snapToGrid w:val="0"/>
      <w:spacing w:line="588" w:lineRule="atLeast"/>
      <w:ind w:left="1596" w:hanging="969"/>
    </w:pPr>
    <w:rPr>
      <w:rFonts w:ascii="宋体" w:hAnsi="宋体" w:eastAsia="仿宋_GB2312"/>
      <w:spacing w:val="6"/>
      <w:sz w:val="30"/>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semiHidden/>
    <w:unhideWhenUsed/>
    <w:qFormat/>
    <w:uiPriority w:val="0"/>
  </w:style>
  <w:style w:type="character" w:styleId="14">
    <w:name w:val="Hyperlink"/>
    <w:basedOn w:val="11"/>
    <w:semiHidden/>
    <w:unhideWhenUsed/>
    <w:qFormat/>
    <w:uiPriority w:val="0"/>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Char"/>
    <w:basedOn w:val="11"/>
    <w:link w:val="7"/>
    <w:qFormat/>
    <w:uiPriority w:val="99"/>
    <w:rPr>
      <w:sz w:val="18"/>
      <w:szCs w:val="18"/>
    </w:rPr>
  </w:style>
  <w:style w:type="character" w:customStyle="1" w:styleId="17">
    <w:name w:val="页脚 Char Char"/>
    <w:basedOn w:val="11"/>
    <w:link w:val="6"/>
    <w:qFormat/>
    <w:uiPriority w:val="99"/>
    <w:rPr>
      <w:sz w:val="18"/>
      <w:szCs w:val="18"/>
    </w:rPr>
  </w:style>
  <w:style w:type="character" w:customStyle="1" w:styleId="18">
    <w:name w:val="批注框文本 Char Char"/>
    <w:basedOn w:val="11"/>
    <w:link w:val="5"/>
    <w:qFormat/>
    <w:uiPriority w:val="99"/>
    <w:rPr>
      <w:sz w:val="18"/>
      <w:szCs w:val="18"/>
    </w:rPr>
  </w:style>
  <w:style w:type="character" w:customStyle="1" w:styleId="19">
    <w:name w:val="日期 Char Char"/>
    <w:basedOn w:val="11"/>
    <w:link w:val="4"/>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2557</Words>
  <Characters>2854</Characters>
  <Lines>2</Lines>
  <Paragraphs>1</Paragraphs>
  <TotalTime>132</TotalTime>
  <ScaleCrop>false</ScaleCrop>
  <LinksUpToDate>false</LinksUpToDate>
  <CharactersWithSpaces>2928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2018-04-18T02:33:00Z</dcterms:created>
  <dc:creator>kfcczj</dc:creator>
  <cp:lastModifiedBy>Lenovo</cp:lastModifiedBy>
  <cp:lastPrinted>2023-07-17T02:29:00Z</cp:lastPrinted>
  <dcterms:modified xsi:type="dcterms:W3CDTF">2023-07-28T02:10:04Z</dcterms:modified>
  <dc:title> 通经技财字〔2018〕29号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C45C345B733C48C6A29EFEEA00B25D8F_13</vt:lpwstr>
  </property>
</Properties>
</file>