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中华人民共和国保守国家秘密法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（1988年9月5日第七届全国人民代表大会常务委员会第三次会议通过 2010年4月29日第十一届全国人民代表大会常务委员会第十四次会议修订）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方正黑体简体" w:hAnsi="方正黑体简体" w:eastAsia="方正黑体简体" w:cs="方正黑体简体"/>
          <w:i w:val="0"/>
          <w:iCs w:val="0"/>
          <w:caps w:val="0"/>
          <w:color w:val="333333"/>
          <w:spacing w:val="0"/>
          <w:sz w:val="32"/>
          <w:szCs w:val="32"/>
          <w:shd w:val="clear" w:fill="FFFFFF"/>
          <w:lang w:eastAsia="zh-CN"/>
        </w:rPr>
      </w:pPr>
      <w:r>
        <w:rPr>
          <w:rFonts w:hint="eastAsia" w:ascii="方正黑体简体" w:hAnsi="方正黑体简体" w:eastAsia="方正黑体简体" w:cs="方正黑体简体"/>
          <w:i w:val="0"/>
          <w:iCs w:val="0"/>
          <w:caps w:val="0"/>
          <w:color w:val="333333"/>
          <w:spacing w:val="0"/>
          <w:sz w:val="32"/>
          <w:szCs w:val="32"/>
          <w:shd w:val="clear" w:fill="FFFFFF"/>
          <w:lang w:eastAsia="zh-CN"/>
        </w:rPr>
        <w:t>第一章</w:t>
      </w: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lang w:eastAsia="zh-CN"/>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6704289-6918256-2_1"/>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第一条 为了</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"https://baike.so.com/doc/1884336-1993628.html" \t "https://baike.so.com/doc/_blank"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保守国家秘密</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，维护国家安全和利益，保障改革开放和社会主义建设事业的顺利进行，制定本法。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第二条 国家秘密是关系国家安全和利益，依照法定程序确定，在一定时间内只限一定范围的人员知悉的事项。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第三条 国家秘密受法律保护。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一切国家机关、武装力量、政党、社会团体、企业事业单位和公民都有保守国家秘密的义务。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任何危害国家秘密安全的行为，都必须受到法律追究。</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保守国家秘密的工作（以下简称保密工作），实行积极防范、突出重点、依法管理的方针，既确保国家秘密安全，又便利信息资源合理利用。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法律、行政法规规定公开的事项，应当依法公开。</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国家保密行政管理部门主管全国的保密工作。县级以上地方各级保密行政管理部门主管本行政区域的保密工作。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第六条 国家机关和涉及国家秘密的单位（以下简称机关、单位）管理本机关和本单位的保密工作。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中央国家机关在其职权范围内，管理或者指导本系统的保密工作。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sectPr>
          <w:footerReference r:id="rId3" w:type="default"/>
          <w:pgSz w:w="11906" w:h="16838"/>
          <w:pgMar w:top="1440" w:right="1800" w:bottom="1440" w:left="1800" w:header="851" w:footer="992" w:gutter="0"/>
          <w:pgNumType w:fmt="numberInDash" w:start="2"/>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第七条 机关、单位应当实行保密工作责任制，健全保密</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"https://baike.so.com/doc/5366840-5602576.html" \t "https://baike.so.com/doc/_blank"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管理制度</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，完善保密防护措施，开展保密宣传教育，加强保密检查。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第八条 国家对在保守、保护国家秘密以及改进保密技术、措施等方面成绩显著的单位或者个人给予奖励。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第二章</w:t>
      </w:r>
      <w:r>
        <w:rPr>
          <w:rFonts w:hint="eastAsia" w:ascii="方正黑体简体" w:hAnsi="方正黑体简体" w:eastAsia="方正黑体简体" w:cs="方正黑体简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国家秘密的范围和密级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 w:name="6704289-6918256-2_2"/>
      <w:bookmarkEnd w:id="1"/>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第九条 下列涉及国家安全和利益的事项，泄露后可能损害国家在政治、经济、国防、外交等领域的安全和利益的，应当确定为国家秘密：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（一）国家事务重大决策中的秘密事项；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（二）国防建设和武装力量活动中的秘密事项；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（三）外交和外事活动中的秘密事项以及对外承担保密义务的秘密事项；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（四）国民经济和社会发展中的秘密事项；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（五）科学技术中的秘密事项；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（六）维护国家安全活动和追查刑事犯罪中的秘密事项；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（七）经国家保密行政管理部门确定的其他秘密事项。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政党的秘密事项中符合前款规定的，属于国家秘密。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第十条 国家秘密的密级分为绝密、机密、秘密三级。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第十一条 国家秘密及其密级的具体范围，由国家保密行政管理部门分别会同外交、</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"https://baike.so.com/doc/5210407-5442445.html" \t "https://baike.so.com/doc/_blank"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公安</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、国家安全和其他中央有关机关规定。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军事方面的国家秘密及其密级的具体范围，由中央军事委员会规定。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国家秘密及其密级的具体范围的规定，应当在有关范围内公布，并根据情况变化及时调整。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第十二条 机关、单位负责人及其指定的人员为定密责任人，负责本机关、本单位的国家秘密确定、变更和解除工作。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机关、单位确定、变更和解除本机关、本单位的国家秘密，应当由承办人提出具体意见，经定密责任人审核批准。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第十三条 确定国家秘密的密级，应当遵守定密权限。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中央国家机关、省级机关及其授权的机关、单位可以确定绝密级、机密级和秘密级国家秘密；设区的市、</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"https://baike.so.com/doc/6140581-6353747.html" \t "https://baike.so.com/doc/_blank"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自治州</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一级的机关及其授权的机关、单位可以确定机密级和秘密级国家秘密。具体的定密权限、授权范围由国家保密行政管理部门规定。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"https://baike.so.com/doc/6841799-7059086.html" \t "https://baike.so.com/doc/_blank"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业务主管部门</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或者保密行政管理部门确定。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公安、国家安全机关在其工作范围内按照规定的权限确定国家秘密的密级。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第十四条 机关、单位对所产生的国家秘密事项，应当按照国家秘密及其密级的具体范围的规定确定密级，同时确定保密期限和知悉范围。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第十五条 国家秘密的保密期限，应当根据事项的性质和特点，按照维护国家安全和利益的需要，限定在必要的期限内；不能确定期限的，应当确定解密的条件。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国家秘密的保密期限，除另有规定外，绝密级不超过三十年，机密级不超过二十年，秘密级不超过十年。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机关、单位应当根据工作需要，确定具体的保密期限、解密时间或者解密条件。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机关、单位对在决定和处理有关事项工作过程中确定需要保密的事项，根据工作需要决定公开的，正式公布时即视为解密。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第十六条 国家秘密的知悉范围，应当根据工作需要限定在最小范围。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国家秘密的知悉范围能够限定到具体人员的，限定到具体人员；不能限定到具体人员的，限定到机关、单位，由机关、单位限定到具体人员。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国家秘密的知悉范围以外的人员，因工作需要知悉国家秘密的，应当经过机关、单位负责人批准。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第十七条 机关、单位对承载国家秘密的纸介质、光介质、电磁介质等载体（以下简称</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"https://baike.so.com/doc/6452717-6666402.html" \t "https://baike.so.com/doc/_blank"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国家秘密载体</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）以及属于国家秘密的设备、产品，应当做出国家秘密标志。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不属于国家秘密的，不应当做出国家秘密标志。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第十八条 国家秘密的密级、保密期限和知悉范围，应当根据情况变化及时变更。国家秘密的密级、保密期限和知悉范围的变更，由原定密机关、单位决定，也可以由其上级机关决定。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国家秘密的密级、保密期限和知悉范围变更的，应当及时书面通知知悉范围内的机关、单位或者人员。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第十九条 国家秘密的保密期限已满的，自行解密。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第二十条 机关、单位对是否属于国家秘密或者属于何种密级不明确或者有争议的，由国家保密行政管理部门或者省、</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"https://baike.so.com/doc/5411133-5649231.html" \t "https://baike.so.com/doc/_blank"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9"/>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自治区</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、直辖市保密行政管理部门确定。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第三章</w:t>
      </w:r>
      <w:r>
        <w:rPr>
          <w:rFonts w:hint="eastAsia" w:ascii="方正黑体简体" w:hAnsi="方正黑体简体" w:eastAsia="方正黑体简体" w:cs="方正黑体简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保密制度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bookmarkStart w:id="2" w:name="6704289-6918256-2_3"/>
      <w:bookmarkEnd w:id="2"/>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第二十一条 国家秘密载体的制作、收发、传递、使用、复制、保存、维修和销毁，应当符合国家保密规定。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绝密级国家秘密载体应当在符合</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"https://baike.so.com/doc/6436538-6650217.html"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国家保密标准</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的设施、设备中保存，并指定专人管理；未经原定密机关、单位或者其上级机关批准，不得复制和摘抄；收发、传递和外出携带，应当指定人员负责，并采取必要的安全措施。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第二十二条 属于国家秘密的设备、产品的研制、生产、运输、使用、保存、维修和销毁，应当符合国家保密规定。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第二十三条 存储、处理国家秘密的</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"https://baike.so.com/doc/166205-175623.html"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计算机信息系统</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（以下简称</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"https://baike.so.com/doc/2568829-2712783.html"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涉密信息系统</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）按照涉密程度实行分级保护。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涉密信息系统应当按照国家保密标准配备保密设施、设备。保密设施、设备应当与涉密信息系统同步规划，同步建设，同步运行。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涉密信息系统应当按照规定，经检查合格后，方可投入使用。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第二十四条 机关、单位应当加强对涉密信息系统的管理，任何组织和个人不得有下列行为：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（一）将涉密计算机、涉密存储设备接入互联网及其他公共信息网络；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（二）在未采取防护措施的情况下，在涉密信息系统与互联网及其他公共信息网络之间进行信息交换；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（三）使用非涉密计算机、非涉密存储设备存储、处理国家秘密信息；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（四）擅自</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"https://baike.so.com/doc/5952141-6165082.html"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卸载</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、修改涉密信息系统的安全技术程序、管理程序；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（五）将未经安全技术处理的退出使用的涉密计算机、涉密存储设备赠送、出售、丢弃或者改作其他用途。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第二十五条 机关、单位应当加强对国家秘密载体的管理，任何组织和个人不得有下列行为：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（一）非法获取、持有国家秘密载体；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（二）买卖、转送或者私自销毁国家秘密载体；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（三）通过普通邮政、快递等无保密措施的渠道传递国家秘密载体；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（四）邮寄、托运国家秘密载体出境；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（五）未经有关主管部门批准，携带、传递国家秘密载体出境。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第二十六条 禁止非法复制、记录、存储国家秘密。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禁止在互联网及其他公共信息网络或者未采取保密措施的有线和无线通信中传递国家秘密。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禁止在私人交往和通信中涉及国家秘密。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第二十七条 报刊、图书、音像制品、电子出版物的编辑、出版、印制、发行，广播节目、电视节目、电影的制作和播放，互联网、移动通信网等公共信息网络及其他传媒的信息编辑、发布，应当遵守有关保密规定。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第二十八条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第二十九条 机关、单位公开发布信息以及对涉及国家秘密的工程、货物、服务进行采购时，应当遵守保密规定。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960" w:firstLineChars="3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第三十一条 举办会议或者其他活动涉及国家秘密的，主办单位应当采取保密措施，并对参加人员进行保密教育，提出具体保密要求。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第三十二条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第三十三条 军事禁区和属于国家秘密不对外开放的其他场所、部位，应当采取保密措施，未经有关部门批准，不得擅自决定对外开放或者扩大开放范围。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第三十四条 从事国家秘密载体制作、复制、维修、销毁，涉密信息系统集成，或者</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"https://baike.so.com/doc/6932911-7155239.html"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武器装备科研生产</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等涉及国家秘密业务的企业事业单位，应当经过保密审查，具体办法由国务院规定。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机关、单位委托企业事业单位从事前款规定的业务，应当与其签订保密协议，提出保密要求，采取保密措施。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第三十五条 在涉密岗位工作的人员（以下简称涉密人员），按照涉密程度分为核心涉密人员、重要涉密人员和一般涉密人员，实行分类管理。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任用、聘用涉密人员应当按照有关规定进行审查。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涉密人员应当具有良好的政治素质和品行，具有胜任涉密岗位所要求的工作能力。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涉密人员的合法权益受法律保护。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第三十六条 涉密人员上岗应当经过保密教育培训，掌握保密知识技能，签订保密承诺书，严格遵守保密规章制度，不得以任何方式泄露国家秘密。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第三十七条 涉密人员出境应当经有关部门批准，有关机关认为涉密人员出境将对国家安全造成危害或者对国家利益造成重大损失的，不得批准出境。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第三十八条 涉密人员离岗离职实行脱密期管理。涉密人员在脱密期内，应当按照规定履行保密义务，不得违反规定就业，不得以任何方式泄露国家秘密。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第三十九条 机关、单位应当建立健全涉密人员管理制度，明确涉密人员的权利、岗位责任和要求，对涉密人员履行职责情况开展经常性的监督检查。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第四十条 </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"https://baike.so.com/doc/6445451-6659132.html"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国家工作人员</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或者其他公民发现国家秘密已经泄露或者可能泄露时，应当立即采取补救措施并及时报告有关机关、单位。机关、单位接到报告后，应当立即作出处理，并及时向保密行政管理部门报告。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pPr>
      <w:bookmarkStart w:id="3" w:name="6704289-6918256-2_4"/>
      <w:bookmarkEnd w:id="3"/>
      <w:r>
        <w:rPr>
          <w:rFonts w:hint="eastAsia" w:ascii="方正黑体简体" w:hAnsi="方正黑体简体" w:eastAsia="方正黑体简体" w:cs="方正黑体简体"/>
          <w:i w:val="0"/>
          <w:iCs w:val="0"/>
          <w:caps w:val="0"/>
          <w:color w:val="000000" w:themeColor="text1"/>
          <w:spacing w:val="0"/>
          <w:sz w:val="32"/>
          <w:szCs w:val="32"/>
          <w:shd w:val="clear" w:fill="FFFFFF"/>
          <w:lang w:eastAsia="zh-CN"/>
          <w14:textFill>
            <w14:solidFill>
              <w14:schemeClr w14:val="tx1"/>
            </w14:solidFill>
          </w14:textFill>
        </w:rPr>
        <w:t>第四</w:t>
      </w: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章</w:t>
      </w:r>
      <w:r>
        <w:rPr>
          <w:rFonts w:hint="eastAsia" w:ascii="方正黑体简体" w:hAnsi="方正黑体简体" w:eastAsia="方正黑体简体" w:cs="方正黑体简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第四十一条 国家保密行政管理部门依照法律、行政法规的规定，制定保密规章和国家保密标准。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第四十二条 保密行政管理部门依法组织开展保密宣传教育、保密检查、保密技术防护和泄密案件查处工作，对机关、单位的保密工作进行指导和监督。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第四十三条 保密行政管理部门发现国家秘密确定、变更或者解除不当的，应当及时通知有关机关、单位予以纠正。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第四十五条 保密行政管理部门对保密检查中发现的非法获取、持有的国家秘密载体，应当予以收缴。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第四十六条 办理涉嫌泄露国家秘密案件的机关，需要对有关事项是否属于国家秘密以及属于何种密级进行鉴定的，由国家保密行政管理部门或者省、自治区、</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"https://baike.so.com/doc/4262805-4465570.html"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直辖市</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保密行政管理部门鉴定。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第五章</w:t>
      </w:r>
      <w:r>
        <w:rPr>
          <w:rFonts w:hint="eastAsia" w:ascii="方正黑体简体" w:hAnsi="方正黑体简体" w:eastAsia="方正黑体简体" w:cs="方正黑体简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bookmarkStart w:id="4" w:name="6704289-6918256-2_5"/>
      <w:bookmarkEnd w:id="4"/>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第四十八条 违反本法规定，有下列行为之一的，依法给予处分；构成犯罪的，依法追究刑事责任：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（一）非法获取、持有国家秘密载体的；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（二）买卖、转送或者私自销毁国家秘密载体的；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（三）通过普通邮政、快递等无保密措施的渠道传递国家秘密载体的；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（四）邮寄、托运国家秘密载体出境，或者未经有关主管部门批准，携带、传递国家秘密载体出境的；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（五）非法复制、记录、存储国家秘密的；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（六）在私人交往和通信中涉及国家秘密的；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（七）在互联网及其他公共信息网络或者未采取保密措施的有线和无线通信中传递国家秘密的；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（八）将涉密计算机、涉密存储设备接入互联网及其他公共信息网络的；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（九）在未采取防护措施的情况下，在涉密信息系统与互联网及其他公共信息网络之间进行信息交换的；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（十）使用非涉密计算机、非涉密存储设备存储、处理国家秘密信息的；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（十一）擅自卸载、修改涉密信息系统的安全技术程序、管理程序的；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（十二）将未经安全技术处理的退出使用的涉密计算机、涉密存储设备赠送、出售、丢弃或者改作其他用途的。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有前款行为尚不构成犯罪，且不适用处分的人员，由保密行政管理部门督促其所在机关、单位予以处理。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第四十九条 机关、单位违反本法规定，发生重大泄密案件的，由有关机关、单位依法对直接负责的主管人员和其他直接责任人员给予处分；不适用处分的人员，由保密行政管理部门督促其主管部门予以处理。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机关、单位违反本法规定，对应当定密的事项不定密，或者对不应当定密的事项定密，造成严重后果的，由有关机关、单位依法对直接负责的主管人员和其他直接责任人员给予处分。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第五十条 互联网及其他公共信息网络运营商、服务商违反本法第二十八条规定的，由公安机关或者国家安全机关、信息产业主管部门按照各自职责分工依法予以处罚。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第五十一条 保密行政管理部门的工作人员在履行保密管理职责中滥用职权、玩忽职守、徇私舞弊的，依法给予处分；构成犯罪的，依法追究刑事责任。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第六章</w:t>
      </w:r>
      <w:r>
        <w:rPr>
          <w:rFonts w:hint="eastAsia" w:ascii="方正黑体简体" w:hAnsi="方正黑体简体" w:eastAsia="方正黑体简体" w:cs="方正黑体简体"/>
          <w:i w:val="0"/>
          <w:iCs w:val="0"/>
          <w:caps w:val="0"/>
          <w:color w:val="000000" w:themeColor="text1"/>
          <w:spacing w:val="0"/>
          <w:sz w:val="32"/>
          <w:szCs w:val="32"/>
          <w:shd w:val="clear" w:fill="FFFFFF"/>
          <w:lang w:val="en-US" w:eastAsia="zh-CN"/>
          <w14:textFill>
            <w14:solidFill>
              <w14:schemeClr w14:val="tx1"/>
            </w14:solidFill>
          </w14:textFill>
        </w:rPr>
        <w:t xml:space="preserve">  </w:t>
      </w:r>
      <w:bookmarkStart w:id="6" w:name="_GoBack"/>
      <w:bookmarkEnd w:id="6"/>
      <w:r>
        <w:rPr>
          <w:rFonts w:hint="eastAsia" w:ascii="方正黑体简体" w:hAnsi="方正黑体简体" w:eastAsia="方正黑体简体" w:cs="方正黑体简体"/>
          <w:i w:val="0"/>
          <w:iCs w:val="0"/>
          <w:caps w:val="0"/>
          <w:color w:val="000000" w:themeColor="text1"/>
          <w:spacing w:val="0"/>
          <w:sz w:val="32"/>
          <w:szCs w:val="32"/>
          <w:shd w:val="clear" w:fill="FFFFFF"/>
          <w14:textFill>
            <w14:solidFill>
              <w14:schemeClr w14:val="tx1"/>
            </w14:solidFill>
          </w14:textFill>
        </w:rPr>
        <w:t>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bookmarkStart w:id="5" w:name="6704289-6918256-2_6"/>
      <w:bookmarkEnd w:id="5"/>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第五十二条 中央军事委员会根据本法制定</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instrText xml:space="preserve"> HYPERLINK "https://baike.so.com/doc/6718555-6932601.html" \t "https://baike.so.com/doc/_blank" </w:instrTex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中国人民解放军保密条例</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color w:val="000000" w:themeColor="text1"/>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第五十三条 本法自2010年10月1日起施行。</w:t>
      </w:r>
    </w:p>
    <w:sectPr>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7F015"/>
    <w:multiLevelType w:val="singleLevel"/>
    <w:tmpl w:val="CED7F015"/>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ZWFiZTVkMjc0NWE0NTAxMDY1YjUyZGE5NGJkNzUifQ=="/>
  </w:docVars>
  <w:rsids>
    <w:rsidRoot w:val="19587FEB"/>
    <w:rsid w:val="112E6273"/>
    <w:rsid w:val="19587FEB"/>
    <w:rsid w:val="2D65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5811</Words>
  <Characters>5822</Characters>
  <Lines>0</Lines>
  <Paragraphs>0</Paragraphs>
  <TotalTime>2</TotalTime>
  <ScaleCrop>false</ScaleCrop>
  <LinksUpToDate>false</LinksUpToDate>
  <CharactersWithSpaces>5874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2023-04-26T00:46:00Z</dcterms:created>
  <dc:creator>Never  Give  Up!!!</dc:creator>
  <cp:lastModifiedBy>杨欢</cp:lastModifiedBy>
  <cp:lastPrinted>2023-04-26T00:57:00Z</cp:lastPrinted>
  <dcterms:modified xsi:type="dcterms:W3CDTF">2023-04-26T06:37:32Z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1D7BA5ADB55440A78EB51E517BA9639E_13</vt:lpwstr>
  </property>
</Properties>
</file>