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/>
        </w:rPr>
      </w:pPr>
      <w:r>
        <w:rPr>
          <w:rFonts w:hint="eastAsia"/>
          <w:sz w:val="44"/>
          <w:szCs w:val="44"/>
          <w:lang w:val="en-US"/>
        </w:rPr>
        <w:t>会计人员职业道德规范</w:t>
      </w:r>
    </w:p>
    <w:p>
      <w:pPr>
        <w:jc w:val="center"/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一、坚持诚信，守法奉公。牢固树立诚信理念，以诚立身、以信立业，严于律己、心存敬畏。学法知法守法，公私分明、克己奉公，树立良好职业形象，维护会计行业声誉。</w:t>
      </w:r>
    </w:p>
    <w:p>
      <w:pPr>
        <w:rPr>
          <w:rFonts w:hint="eastAsia"/>
          <w:sz w:val="30"/>
          <w:szCs w:val="30"/>
          <w:lang w:val="en-US"/>
        </w:rPr>
      </w:pPr>
    </w:p>
    <w:p>
      <w:pPr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二、坚持准则，守责敬业。严格执行准则制度，保证会计信息真实完整。勤勉尽责、爱岗敬业，忠于职守、敢于斗争,自觉抵制会计造假行为，维护国家财经纪律和经济秩序。</w:t>
      </w:r>
    </w:p>
    <w:p>
      <w:pPr>
        <w:rPr>
          <w:rFonts w:hint="eastAsia"/>
          <w:sz w:val="30"/>
          <w:szCs w:val="30"/>
          <w:lang w:val="en-US"/>
        </w:rPr>
      </w:pPr>
    </w:p>
    <w:p>
      <w:pPr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三、坚持学习，守正创新。始终秉持专业精神，勤于学</w:t>
      </w:r>
    </w:p>
    <w:p>
      <w:pPr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习、锐意进取，持续提升会计专业能力。不断适应新形势新要求，与时俱进、开拓创新，努力推动会计事业高质量发展。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开发区财政国资局宣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ZDk0MmNkOWIwYTliOTkxOTBiOGRiNDM3OGRjMTIifQ=="/>
  </w:docVars>
  <w:rsids>
    <w:rsidRoot w:val="605E795F"/>
    <w:rsid w:val="605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2023-06-27T02:37:00Z</dcterms:created>
  <dc:creator>Letty</dc:creator>
  <cp:lastModifiedBy>Letty</cp:lastModifiedBy>
  <dcterms:modified xsi:type="dcterms:W3CDTF">2023-06-27T02:37:35Z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5BF765C0F90A4E82A2F746082F697F3F_11</vt:lpwstr>
  </property>
</Properties>
</file>