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：</w:t>
      </w:r>
    </w:p>
    <w:p>
      <w:pPr>
        <w:spacing w:line="500" w:lineRule="atLeast"/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2022年度行政事业性国有资产报表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eastAsia="zh-CN"/>
        </w:rPr>
        <w:t>分析报告</w:t>
      </w:r>
    </w:p>
    <w:p>
      <w:pPr>
        <w:spacing w:line="500" w:lineRule="atLeast"/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color w:val="auto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  <w:lang w:eastAsia="zh-CN"/>
        </w:rPr>
        <w:t>单位</w:t>
      </w:r>
      <w:r>
        <w:rPr>
          <w:rFonts w:hint="eastAsia" w:ascii="黑体" w:hAnsi="仿宋" w:eastAsia="黑体" w:cs="Times New Roman"/>
          <w:color w:val="auto"/>
          <w:sz w:val="32"/>
          <w:szCs w:val="32"/>
        </w:rPr>
        <w:t>基本情况</w:t>
      </w:r>
    </w:p>
    <w:p>
      <w:pPr>
        <w:spacing w:line="360" w:lineRule="auto"/>
        <w:ind w:firstLine="640" w:firstLineChars="200"/>
        <w:rPr>
          <w:color w:val="auto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截至2022年12月31日，已纳入我部门/单位资产报表编制范围的单位共</w:t>
      </w:r>
      <w:r>
        <w:rPr>
          <w:rFonts w:hint="eastAsia" w:ascii="宋体" w:eastAsia="宋体" w:hAnsiTheme="minorEastAsia"/>
          <w:color w:val="auto"/>
          <w:sz w:val="27"/>
        </w:rPr>
        <w:t>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户，独立编制机构数</w:t>
      </w:r>
      <w:r>
        <w:rPr>
          <w:rFonts w:hint="eastAsia" w:ascii="宋体" w:eastAsia="宋体" w:hAnsiTheme="minorEastAsia"/>
          <w:color w:val="auto"/>
          <w:sz w:val="27"/>
        </w:rPr>
        <w:t>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个，较上年度增长</w:t>
      </w:r>
      <w:r>
        <w:rPr>
          <w:rFonts w:hint="eastAsia" w:ascii="宋体" w:eastAsia="宋体" w:hAnsiTheme="minorEastAsia"/>
          <w:color w:val="auto"/>
          <w:sz w:val="27"/>
        </w:rPr>
        <w:t>1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个。编制人数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人，年末实有人数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人，较上年度增长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人。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行政事业单位国有资产情况分析</w:t>
      </w:r>
    </w:p>
    <w:p>
      <w:pPr>
        <w:spacing w:line="360" w:lineRule="auto"/>
        <w:ind w:firstLine="636" w:firstLineChars="198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（一）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资产的总体情况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ab/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截至2022年12月31日，我部门/单位资产总计账面数（净值，下同）</w:t>
      </w:r>
      <w:r>
        <w:rPr>
          <w:rFonts w:hint="eastAsia" w:ascii="宋体" w:eastAsia="宋体" w:hAnsiTheme="minorEastAsia"/>
          <w:color w:val="auto"/>
          <w:sz w:val="27"/>
        </w:rPr>
        <w:t>12.42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万元，较上年增长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%；负债总计账面数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万元,较上年增长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%。净资产总计账面数</w:t>
      </w:r>
      <w:r>
        <w:rPr>
          <w:rFonts w:hint="eastAsia" w:ascii="宋体" w:eastAsia="宋体" w:hAnsiTheme="minorEastAsia"/>
          <w:color w:val="auto"/>
          <w:sz w:val="27"/>
        </w:rPr>
        <w:t>12.42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万元,较上年增长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资产分布情况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2022年度，我部门/单位行政单位国有资产</w:t>
      </w:r>
      <w:r>
        <w:rPr>
          <w:rFonts w:hint="eastAsia" w:ascii="宋体" w:eastAsia="宋体" w:hAnsiTheme="minorEastAsia"/>
          <w:color w:val="auto"/>
          <w:sz w:val="27"/>
        </w:rPr>
        <w:t>12.42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100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%；事业单位国有资产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%；其中执行民间非营利组织会计制度的社会团体国有资产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资产构成情况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2022年度，流动资产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%；固定资产</w:t>
      </w:r>
      <w:r>
        <w:rPr>
          <w:rFonts w:hint="eastAsia" w:ascii="宋体" w:eastAsia="宋体" w:hAnsiTheme="minorEastAsia"/>
          <w:color w:val="auto"/>
          <w:sz w:val="27"/>
        </w:rPr>
        <w:t>12.42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100.00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%；长期投资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%；公共基础设施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%；政府储备物资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%；文物文化资产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%；保障性住房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固定资产构成情况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2022年度，我部门/单位固定资产期末账面数原值</w:t>
      </w:r>
      <w:r>
        <w:rPr>
          <w:rFonts w:hint="eastAsia" w:ascii="宋体" w:eastAsia="宋体" w:hAnsiTheme="minorEastAsia"/>
          <w:color w:val="auto"/>
          <w:sz w:val="27"/>
        </w:rPr>
        <w:t>13.45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万元，累计折旧</w:t>
      </w:r>
      <w:r>
        <w:rPr>
          <w:rFonts w:hint="eastAsia" w:ascii="宋体" w:eastAsia="宋体" w:hAnsiTheme="minorEastAsia"/>
          <w:color w:val="auto"/>
          <w:sz w:val="27"/>
        </w:rPr>
        <w:t>1.03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万元，净值</w:t>
      </w:r>
      <w:r>
        <w:rPr>
          <w:rFonts w:hint="eastAsia" w:ascii="宋体" w:eastAsia="宋体" w:hAnsiTheme="minorEastAsia"/>
          <w:color w:val="auto"/>
          <w:sz w:val="27"/>
        </w:rPr>
        <w:t>12.42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万元，其中：土地、房屋及构筑物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万元，占固定资产的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%（其中，房屋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万元，占固定资产的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%）；设备</w:t>
      </w:r>
      <w:r>
        <w:rPr>
          <w:rFonts w:hint="eastAsia" w:ascii="宋体" w:eastAsia="宋体" w:hAnsiTheme="minorEastAsia"/>
          <w:color w:val="auto"/>
          <w:sz w:val="27"/>
        </w:rPr>
        <w:t>8.92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64.67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%（其中，车辆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%，单价100万（含）以上（不含车辆）设备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%）；文物和陈列品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%；图书档案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%；家具、用具、装具</w:t>
      </w:r>
      <w:r>
        <w:rPr>
          <w:rFonts w:hint="eastAsia" w:ascii="宋体" w:eastAsia="宋体" w:hAnsiTheme="minorEastAsia"/>
          <w:color w:val="auto"/>
          <w:sz w:val="27"/>
        </w:rPr>
        <w:t>4.53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35.33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%;特种动植物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万元,占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36" w:firstLineChars="198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）资产配置、使用、处置、收益情况分析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资产配置情况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2022年度，我部门/单位配置固定资产</w:t>
      </w:r>
      <w:r>
        <w:rPr>
          <w:rFonts w:hint="eastAsia" w:ascii="宋体" w:eastAsia="宋体" w:hAnsiTheme="minorEastAsia"/>
          <w:color w:val="auto"/>
          <w:sz w:val="27"/>
        </w:rPr>
        <w:t>13.45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万元（账面原值，下同）。从资产类别分析，配置土地、房屋及构筑物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%；配置设备</w:t>
      </w:r>
      <w:r>
        <w:rPr>
          <w:rFonts w:hint="eastAsia" w:ascii="宋体" w:eastAsia="宋体" w:hAnsiTheme="minorEastAsia"/>
          <w:color w:val="auto"/>
          <w:sz w:val="27"/>
        </w:rPr>
        <w:t>8.92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66.34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%；配置文物和陈列品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%；配置图书档案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%；配置家具、用具、装具</w:t>
      </w:r>
      <w:r>
        <w:rPr>
          <w:rFonts w:hint="eastAsia" w:ascii="宋体" w:eastAsia="宋体" w:hAnsiTheme="minorEastAsia"/>
          <w:color w:val="auto"/>
          <w:sz w:val="27"/>
        </w:rPr>
        <w:t>4.53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33.66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%；配置特种动植物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%。从配置方式分析，新购</w:t>
      </w:r>
      <w:r>
        <w:rPr>
          <w:rFonts w:hint="eastAsia" w:ascii="宋体" w:eastAsia="宋体" w:hAnsiTheme="minorEastAsia"/>
          <w:color w:val="auto"/>
          <w:sz w:val="27"/>
        </w:rPr>
        <w:t>1.72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12.82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%；调拨</w:t>
      </w:r>
      <w:r>
        <w:rPr>
          <w:rFonts w:hint="eastAsia" w:ascii="宋体" w:eastAsia="宋体" w:hAnsiTheme="minorEastAsia"/>
          <w:color w:val="auto"/>
          <w:sz w:val="27"/>
        </w:rPr>
        <w:t>11.73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87.18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%；接受捐赠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%；置换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%；其他方式新增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我部门/单位配置无形资产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万元。从资产类别分析，配置专利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万元，占%；配置非专利技术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万元，占%；配置土地使用权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万元，占%；配置计算机软件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万元，占%。从配置方式分析，新购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万元，占%；调拨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万元，占%；接受捐赠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万元，占%；置换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万元，占%；其他方式新增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我部门/单位配置在建工程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资产使用情况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（1）资产使用情况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截至2022年12月31日，我部门/单位自用固定资产</w:t>
      </w:r>
      <w:r>
        <w:rPr>
          <w:rFonts w:hint="eastAsia" w:ascii="宋体" w:eastAsia="宋体" w:hAnsiTheme="minorEastAsia"/>
          <w:color w:val="auto"/>
          <w:sz w:val="27"/>
        </w:rPr>
        <w:t>13.45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万元，占账面固定资产总额的</w:t>
      </w:r>
      <w:r>
        <w:rPr>
          <w:rFonts w:hint="eastAsia" w:ascii="宋体" w:eastAsia="宋体" w:hAnsiTheme="minorEastAsia"/>
          <w:color w:val="auto"/>
          <w:sz w:val="27"/>
        </w:rPr>
        <w:t>100.00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%，其中:在用</w:t>
      </w:r>
      <w:r>
        <w:rPr>
          <w:rFonts w:hint="eastAsia" w:ascii="宋体" w:eastAsia="宋体" w:hAnsiTheme="minorEastAsia"/>
          <w:color w:val="auto"/>
          <w:sz w:val="27"/>
        </w:rPr>
        <w:t>13.45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万元，占账面固定资产总额的</w:t>
      </w:r>
      <w:r>
        <w:rPr>
          <w:rFonts w:hint="eastAsia" w:ascii="宋体" w:eastAsia="宋体" w:hAnsiTheme="minorEastAsia"/>
          <w:color w:val="auto"/>
          <w:sz w:val="27"/>
        </w:rPr>
        <w:t>100.00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%；闲置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万元，占账面固定资产总额的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%；待处置（待报废、毁损等）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万元，占账面固定资产总额的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%。自用无形资产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万元，占账面无形资产总额的%；其中在用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万元，占账面无形资产总额的%；闲置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万元，占账面无形资产总额的%；待处置（待报废、毁损等）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万元，占账面无形资产总额的%。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（2）出租出借情况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截至2022年12月31日，我部门/单位出租出借资产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%。其中，流动资产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%；固定资产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%；其他资产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万元，占资产总额的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%.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2022年度新增出租出借资产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万元。其中，流动资产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万元，占%；固定资产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万元，占%,在建工程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万元，占%,其他资产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（3）对外投资情况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截至2022年12月31日，我部门/单位对外投资总额万元。其中，短期投资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万元，；长期债券投资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万元；长期股权投资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2022年度新增对外投资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笔，账面原值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万元。其中，短期投资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笔，账面原值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万元；长期债券投资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笔，账面原值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万元；长期股权投资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笔，账面原值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资产处置情况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2022年度，我部门/单位处置资产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万元。从资产类别分析,流动资产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万元，占%；固定资产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万元，占%；无形资产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万元，占%；长期投资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万元，占%；其他资产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万元，占%。从处置形式上分析，出售\出让\转让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万元，占%；无偿调拨（划转）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万元，占%；对外捐赠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万元，占%；置换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万元，占%；报废报损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万元，占%；货币性资产损失核销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万元，占%，其他方式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4.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资产收益情况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2022年度，我部门/单位出租出借资产收益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万元，其中，流动资产收益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万元，占%；固定资产收益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万元，占%；无形资产收益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万元，占%；在建工程收益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万元，占%；其他资产收益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万元，占%；往期出租出借资产收益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万元，占%。对外投资收益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万元，其中，短期投资收益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万元，占%；长期债券投资收益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万元，占%；长期股权投资收益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万元，占%。资产处置收益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万元，其中：本期处置资产收益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万元，占%；往期处置资产收益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万元，占%。</w:t>
      </w:r>
    </w:p>
    <w:p>
      <w:pPr>
        <w:spacing w:line="360" w:lineRule="auto"/>
        <w:ind w:firstLine="636" w:firstLineChars="198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Hans"/>
        </w:rPr>
        <w:t>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）资产总体绩效情况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资产整体配置效率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（</w:t>
      </w: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）土地资产情况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截至2022年12月31日，我部门/单位土地账面面积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万元，账面净值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万元。从使用状况分析：在用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平方米，占比%，出租出借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平方米，占比%，闲置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平方米，占比%，待处置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平方米，占比%。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本年度新增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平方米，账面原值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（</w:t>
      </w: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）房屋资产情况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截至2022年12月31日，我部门/单位房屋账面面积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平方米，账面价值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万元，其中办公用房面积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平方米，占房屋的%；业务用房面积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平方米，占%；其他用房面积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平方米，占%。从使用状况分析：在用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平方米，占%,出租出借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平方米，占%,闲置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平方米，占%,待处置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平方米，占%。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本年度新增账面面积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万元；本年度处置账面面积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平方米，账面原值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（</w:t>
      </w: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）车辆资产情况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截至2022年12月31日，我部门/单位车辆账面数量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万元，账面净值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万元。从使用状况分析：在用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辆，占%，出租出借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辆，占%，闲置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辆，占%，待处置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辆，占%。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本年度新增车辆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万元；处置车辆</w:t>
      </w:r>
      <w:r>
        <w:rPr>
          <w:rFonts w:hint="eastAsia" w:ascii="宋体" w:eastAsia="宋体" w:hAnsiTheme="minorEastAsia"/>
          <w:color w:val="auto"/>
          <w:sz w:val="27"/>
        </w:rPr>
        <w:t>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辆，账面原值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（</w:t>
      </w: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4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）在建工程情况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截至2022年12月31日，我部门/单位账面在建工程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万元，其中，在建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万元，占%；停建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万元，占%；建成未使用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万元,占%；已投入使用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万元，占%；（未转固年限大于6个月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万元，占%）。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本年度新增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万元，处置</w:t>
      </w:r>
      <w:r>
        <w:rPr>
          <w:rFonts w:hint="eastAsia" w:ascii="宋体" w:eastAsia="宋体" w:hAnsiTheme="minorEastAsia"/>
          <w:color w:val="auto"/>
          <w:sz w:val="27"/>
        </w:rPr>
        <w:t>0.00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万元。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资产使用效益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资产存量盘活和共享共用情况</w:t>
      </w:r>
    </w:p>
    <w:p>
      <w:pPr>
        <w:spacing w:line="360" w:lineRule="auto"/>
        <w:ind w:firstLine="643" w:firstLineChars="200"/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</w:pPr>
      <w:r>
        <w:rPr>
          <w:rFonts w:ascii="仿宋_GB2312" w:hAnsi="Calibri" w:eastAsia="仿宋_GB2312" w:cs="Times New Roman"/>
          <w:b/>
          <w:bCs/>
          <w:color w:val="auto"/>
          <w:sz w:val="32"/>
          <w:szCs w:val="32"/>
        </w:rPr>
        <w:t>4.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资产保值增值情况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截至2022年12月31日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，我部门/单位固定资产成新率为</w:t>
      </w:r>
      <w:r>
        <w:rPr>
          <w:rFonts w:hint="eastAsia" w:ascii="宋体" w:eastAsia="宋体" w:hAnsiTheme="minorEastAsia"/>
          <w:color w:val="auto"/>
          <w:sz w:val="27"/>
        </w:rPr>
        <w:t>92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%；公共基础设施成新率为%；保障性住房成新率为%。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资产管理工作的成效及经验</w:t>
      </w:r>
    </w:p>
    <w:p>
      <w:pPr>
        <w:spacing w:line="360" w:lineRule="auto"/>
        <w:ind w:firstLine="620" w:firstLineChars="200"/>
        <w:rPr>
          <w:rFonts w:ascii="黑体" w:hAnsi="仿宋" w:eastAsia="黑体" w:cs="Times New Roman"/>
          <w:color w:val="auto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我单位对资产使用及管理落实到各股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室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明确了单位内部的资产配置、使用、处置等方面的管理权限。</w:t>
      </w: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能保障国有资产在单位有效运转，对社会公共服务提供支撑。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资产管理工作存在的问题及原因分析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1、固定资产内部管理及外部监督制度不健全，资产管理责任不明确。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2、固定资产增减变化不及时。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auto"/>
          <w:spacing w:val="0"/>
          <w:sz w:val="27"/>
          <w:szCs w:val="27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3、对固定资产缺乏定期的清查盘点，疏于日常管理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4、没有严格遵守依法管理国有资产的意识。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5、没有完善资产管理机制。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对管理中存在问题的整改措施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1、建立完善固定资产管理制度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、认真清理资产并整顿实物管理现场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、及时按规定程序处理固定资产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账务。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黑体" w:hAnsi="仿宋" w:eastAsia="黑体" w:cs="Times New Roman"/>
          <w:color w:val="auto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sz w:val="32"/>
          <w:szCs w:val="32"/>
        </w:rPr>
        <w:t>加强资产管理工作的建议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0" w:firstLineChars="200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auto"/>
          <w:spacing w:val="0"/>
          <w:sz w:val="27"/>
          <w:szCs w:val="27"/>
          <w:lang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1、健全内控制度，规范内部管理行为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2、建立固定资产管理清查核对制度。</w:t>
      </w:r>
    </w:p>
    <w:p>
      <w:pPr>
        <w:spacing w:line="360" w:lineRule="auto"/>
        <w:ind w:firstLine="640" w:firstLineChars="200"/>
        <w:rPr>
          <w:rFonts w:ascii="黑体" w:hAnsi="仿宋" w:eastAsia="黑体" w:cs="Times New Roman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91A7C"/>
    <w:multiLevelType w:val="multilevel"/>
    <w:tmpl w:val="30E91A7C"/>
    <w:lvl w:ilvl="0" w:tentative="0">
      <w:start w:val="1"/>
      <w:numFmt w:val="japaneseCounting"/>
      <w:lvlText w:val="%1、"/>
      <w:lvlJc w:val="left"/>
      <w:pPr>
        <w:ind w:left="1288" w:hanging="720"/>
      </w:pPr>
      <w:rPr>
        <w:rFonts w:hint="eastAsia" w:ascii="黑体" w:hAnsi="Calibri" w:eastAsia="黑体"/>
        <w:color w:val="auto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zIxMTZmZWE3MWFmNjUwMzdiZmRkZGIzZWFmNGEifQ=="/>
  </w:docVars>
  <w:rsids>
    <w:rsidRoot w:val="00FD6610"/>
    <w:rsid w:val="00301FD9"/>
    <w:rsid w:val="005D3A03"/>
    <w:rsid w:val="009C470C"/>
    <w:rsid w:val="009C542F"/>
    <w:rsid w:val="00B62A8E"/>
    <w:rsid w:val="00D67BFC"/>
    <w:rsid w:val="00F26BB8"/>
    <w:rsid w:val="00FD6610"/>
    <w:rsid w:val="00FE4507"/>
    <w:rsid w:val="00FE6F59"/>
    <w:rsid w:val="0FB107F0"/>
    <w:rsid w:val="110852F3"/>
    <w:rsid w:val="1D64250D"/>
    <w:rsid w:val="2B6F202A"/>
    <w:rsid w:val="2D895431"/>
    <w:rsid w:val="2E247A0F"/>
    <w:rsid w:val="358732EF"/>
    <w:rsid w:val="447508CF"/>
    <w:rsid w:val="5E5733CE"/>
    <w:rsid w:val="68F51286"/>
    <w:rsid w:val="7B0C744B"/>
    <w:rsid w:val="7CF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2629</Words>
  <Characters>3280</Characters>
  <Lines>23</Lines>
  <Paragraphs>6</Paragraphs>
  <TotalTime>0</TotalTime>
  <ScaleCrop>false</ScaleCrop>
  <LinksUpToDate>false</LinksUpToDate>
  <CharactersWithSpaces>3283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2023-03-04T07:18:00Z</dcterms:created>
  <dc:creator>李 海云</dc:creator>
  <cp:lastModifiedBy>庞筱逸</cp:lastModifiedBy>
  <dcterms:modified xsi:type="dcterms:W3CDTF">2023-03-04T07:51:35Z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066DE906A6754884BB448E5C04BCF6BC</vt:lpwstr>
  </property>
</Properties>
</file>