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FF" w:rsidRDefault="00A8588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关于通辽经济技术开发区</w:t>
      </w:r>
      <w:r>
        <w:rPr>
          <w:rFonts w:ascii="方正小标宋简体" w:eastAsia="方正小标宋简体" w:hint="eastAsia"/>
          <w:sz w:val="44"/>
          <w:szCs w:val="44"/>
        </w:rPr>
        <w:t>2022</w:t>
      </w:r>
      <w:r>
        <w:rPr>
          <w:rFonts w:ascii="方正小标宋简体" w:eastAsia="方正小标宋简体" w:hint="eastAsia"/>
          <w:sz w:val="44"/>
          <w:szCs w:val="44"/>
        </w:rPr>
        <w:t>年预算执行情况和</w:t>
      </w:r>
      <w:r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年预算草案的报告</w:t>
      </w:r>
    </w:p>
    <w:p w:rsidR="00D27EFF" w:rsidRDefault="00D27EFF">
      <w:pPr>
        <w:rPr>
          <w:rFonts w:ascii="方正仿宋简体" w:eastAsia="方正仿宋简体"/>
          <w:sz w:val="32"/>
          <w:szCs w:val="32"/>
        </w:rPr>
      </w:pPr>
    </w:p>
    <w:p w:rsidR="00D27EFF" w:rsidRDefault="006F025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A85882">
        <w:rPr>
          <w:rFonts w:ascii="黑体" w:eastAsia="黑体" w:hAnsi="黑体" w:hint="eastAsia"/>
          <w:sz w:val="32"/>
          <w:szCs w:val="32"/>
        </w:rPr>
        <w:t>一、</w:t>
      </w:r>
      <w:r w:rsidR="00A85882">
        <w:rPr>
          <w:rFonts w:ascii="黑体" w:eastAsia="黑体" w:hAnsi="黑体" w:hint="eastAsia"/>
          <w:sz w:val="32"/>
          <w:szCs w:val="32"/>
        </w:rPr>
        <w:t xml:space="preserve">2022 </w:t>
      </w:r>
      <w:r w:rsidR="00A85882">
        <w:rPr>
          <w:rFonts w:ascii="黑体" w:eastAsia="黑体" w:hAnsi="黑体" w:hint="eastAsia"/>
          <w:sz w:val="32"/>
          <w:szCs w:val="32"/>
        </w:rPr>
        <w:t>年预算执行情况</w:t>
      </w:r>
    </w:p>
    <w:p w:rsidR="00D27EFF" w:rsidRDefault="006F0259">
      <w:pPr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t xml:space="preserve">    </w:t>
      </w:r>
      <w:r w:rsidR="00A85882">
        <w:rPr>
          <w:rFonts w:ascii="方正楷体简体" w:eastAsia="方正楷体简体" w:hint="eastAsia"/>
          <w:sz w:val="32"/>
          <w:szCs w:val="32"/>
        </w:rPr>
        <w:t>（一）一般公共预算执行情况</w:t>
      </w:r>
    </w:p>
    <w:p w:rsidR="00D27EFF" w:rsidRDefault="006F0259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开发区一般公共预算收入预期目标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为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94,550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受疫情和落实国家减税降费政策等因素影响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，一般公共预算收入实际完成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83,092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元，与上年相比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减少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3,964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下降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4.55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%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。加上上级补助收入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26,042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元，一般债券转贷收入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53,884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元，上年结转收入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9,370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调入资金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179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,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动用预算稳定调节基金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2,183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元后，收入总计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174,750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元。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年，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开发区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一般公共预算支出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109,972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元，与上年相比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增加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676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增长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0.63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%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。加上一般债务还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本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支出</w:t>
      </w:r>
      <w:r w:rsidR="00A85882" w:rsidRPr="006F0259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53,531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元及上解上级支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出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-176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元后，支出总计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163,327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元。收支相抵，年终结余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11,423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元，按规定结转下年继续使用。</w:t>
      </w:r>
    </w:p>
    <w:p w:rsidR="00D27EFF" w:rsidRDefault="006F0259">
      <w:pPr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 xml:space="preserve">    </w:t>
      </w:r>
      <w:r w:rsidR="00A85882">
        <w:rPr>
          <w:rFonts w:ascii="楷体_GB2312" w:eastAsia="楷体_GB2312" w:hAnsi="Times New Roman" w:cs="Times New Roman" w:hint="eastAsia"/>
          <w:sz w:val="32"/>
          <w:szCs w:val="32"/>
        </w:rPr>
        <w:t>（二）政府</w:t>
      </w:r>
      <w:bookmarkStart w:id="0" w:name="_GoBack"/>
      <w:bookmarkEnd w:id="0"/>
      <w:r w:rsidR="00A85882">
        <w:rPr>
          <w:rFonts w:ascii="楷体_GB2312" w:eastAsia="楷体_GB2312" w:hAnsi="Times New Roman" w:cs="Times New Roman" w:hint="eastAsia"/>
          <w:sz w:val="32"/>
          <w:szCs w:val="32"/>
        </w:rPr>
        <w:t>性基金预算执行情况</w:t>
      </w:r>
    </w:p>
    <w:p w:rsidR="00D27EFF" w:rsidRDefault="00A85882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6F0259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开发区政府性基金预算收入完成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33,891</w:t>
      </w:r>
      <w:r>
        <w:rPr>
          <w:rFonts w:ascii="Times New Roman" w:eastAsia="方正仿宋简体" w:hAnsi="Times New Roman" w:cs="Times New Roman"/>
          <w:sz w:val="32"/>
          <w:szCs w:val="32"/>
        </w:rPr>
        <w:t>万元，与上年相比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增加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12,757</w:t>
      </w:r>
      <w:r>
        <w:rPr>
          <w:rFonts w:ascii="Times New Roman" w:eastAsia="方正仿宋简体" w:hAnsi="Times New Roman" w:cs="Times New Roman"/>
          <w:sz w:val="32"/>
          <w:szCs w:val="32"/>
        </w:rPr>
        <w:t>万元，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60.36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，主要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增</w:t>
      </w:r>
      <w:r>
        <w:rPr>
          <w:rFonts w:ascii="Times New Roman" w:eastAsia="方正仿宋简体" w:hAnsi="Times New Roman" w:cs="Times New Roman"/>
          <w:sz w:val="32"/>
          <w:szCs w:val="32"/>
        </w:rPr>
        <w:t>收因素是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澄麟房地产好百年婚礼宫项目</w:t>
      </w:r>
      <w:r>
        <w:rPr>
          <w:rFonts w:ascii="Times New Roman" w:eastAsia="方正仿宋简体" w:hAnsi="Times New Roman" w:cs="Times New Roman"/>
          <w:sz w:val="32"/>
          <w:szCs w:val="32"/>
        </w:rPr>
        <w:t>缴纳土地出让收入。加上上级补助收入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220</w:t>
      </w:r>
      <w:r>
        <w:rPr>
          <w:rFonts w:ascii="Times New Roman" w:eastAsia="方正仿宋简体" w:hAnsi="Times New Roman" w:cs="Times New Roman"/>
          <w:sz w:val="32"/>
          <w:szCs w:val="32"/>
        </w:rPr>
        <w:t>万元、专项债券转贷收入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8,517</w:t>
      </w:r>
      <w:r>
        <w:rPr>
          <w:rFonts w:ascii="Times New Roman" w:eastAsia="方正仿宋简体" w:hAnsi="Times New Roman" w:cs="Times New Roman"/>
          <w:sz w:val="32"/>
          <w:szCs w:val="32"/>
        </w:rPr>
        <w:t>万元、上年结转收入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380</w:t>
      </w:r>
      <w:r>
        <w:rPr>
          <w:rFonts w:ascii="Times New Roman" w:eastAsia="方正仿宋简体" w:hAnsi="Times New Roman" w:cs="Times New Roman"/>
          <w:sz w:val="32"/>
          <w:szCs w:val="32"/>
        </w:rPr>
        <w:t>万元，收入总计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43,008</w:t>
      </w:r>
      <w:r>
        <w:rPr>
          <w:rFonts w:ascii="Times New Roman" w:eastAsia="方正仿宋简体" w:hAnsi="Times New Roman" w:cs="Times New Roman"/>
          <w:sz w:val="32"/>
          <w:szCs w:val="32"/>
        </w:rPr>
        <w:t>万元。</w:t>
      </w:r>
      <w:r>
        <w:rPr>
          <w:rFonts w:ascii="Times New Roman" w:eastAsia="方正仿宋简体" w:hAnsi="Times New Roman" w:cs="Times New Roman"/>
          <w:sz w:val="32"/>
          <w:szCs w:val="32"/>
        </w:rPr>
        <w:t>2022</w:t>
      </w:r>
      <w:r>
        <w:rPr>
          <w:rFonts w:ascii="Times New Roman" w:eastAsia="方正仿宋简体" w:hAnsi="Times New Roman" w:cs="Times New Roman"/>
          <w:sz w:val="32"/>
          <w:szCs w:val="32"/>
        </w:rPr>
        <w:t>年，开发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区政府性基金预算支出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41,040</w:t>
      </w:r>
      <w:r>
        <w:rPr>
          <w:rFonts w:ascii="Times New Roman" w:eastAsia="方正仿宋简体" w:hAnsi="Times New Roman" w:cs="Times New Roman"/>
          <w:sz w:val="32"/>
          <w:szCs w:val="32"/>
        </w:rPr>
        <w:t>万元，与上年相比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增加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9,506</w:t>
      </w:r>
      <w:r>
        <w:rPr>
          <w:rFonts w:ascii="Times New Roman" w:eastAsia="方正仿宋简体" w:hAnsi="Times New Roman" w:cs="Times New Roman"/>
          <w:sz w:val="32"/>
          <w:szCs w:val="32"/>
        </w:rPr>
        <w:t>万元，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30.15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。加上专项债务还本支出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575</w:t>
      </w:r>
      <w:r>
        <w:rPr>
          <w:rFonts w:ascii="Times New Roman" w:eastAsia="方正仿宋简体" w:hAnsi="Times New Roman" w:cs="Times New Roman"/>
          <w:sz w:val="32"/>
          <w:szCs w:val="32"/>
        </w:rPr>
        <w:t>万元，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调出资金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141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万元，</w:t>
      </w:r>
      <w:r>
        <w:rPr>
          <w:rFonts w:ascii="Times New Roman" w:eastAsia="方正仿宋简体" w:hAnsi="Times New Roman" w:cs="Times New Roman"/>
          <w:sz w:val="32"/>
          <w:szCs w:val="32"/>
        </w:rPr>
        <w:t>支出总计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41,756</w:t>
      </w:r>
      <w:r>
        <w:rPr>
          <w:rFonts w:ascii="Times New Roman" w:eastAsia="方正仿宋简体" w:hAnsi="Times New Roman" w:cs="Times New Roman"/>
          <w:sz w:val="32"/>
          <w:szCs w:val="32"/>
        </w:rPr>
        <w:t>万元。收支相抵，年终结余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1,252</w:t>
      </w:r>
      <w:r>
        <w:rPr>
          <w:rFonts w:ascii="Times New Roman" w:eastAsia="方正仿宋简体" w:hAnsi="Times New Roman" w:cs="Times New Roman"/>
          <w:sz w:val="32"/>
          <w:szCs w:val="32"/>
        </w:rPr>
        <w:t>万元，按规定结转下年继续使用。</w:t>
      </w:r>
    </w:p>
    <w:p w:rsidR="00D27EFF" w:rsidRDefault="006F0259">
      <w:pPr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t xml:space="preserve">    </w:t>
      </w:r>
      <w:r w:rsidR="00A85882">
        <w:rPr>
          <w:rFonts w:ascii="方正楷体简体" w:eastAsia="方正楷体简体" w:hint="eastAsia"/>
          <w:sz w:val="32"/>
          <w:szCs w:val="32"/>
        </w:rPr>
        <w:t>（三）</w:t>
      </w:r>
      <w:r w:rsidR="00A85882">
        <w:rPr>
          <w:rFonts w:ascii="方正楷体简体" w:eastAsia="方正楷体简体" w:hint="eastAsia"/>
          <w:sz w:val="32"/>
          <w:szCs w:val="32"/>
        </w:rPr>
        <w:t xml:space="preserve"> </w:t>
      </w:r>
      <w:r w:rsidR="00A85882">
        <w:rPr>
          <w:rFonts w:ascii="方正楷体简体" w:eastAsia="方正楷体简体" w:hint="eastAsia"/>
          <w:sz w:val="32"/>
          <w:szCs w:val="32"/>
        </w:rPr>
        <w:t>国有资本经营预算执行情况</w:t>
      </w:r>
    </w:p>
    <w:p w:rsidR="00D27EFF" w:rsidRDefault="006F0259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年，开发区国有资本经营预算收入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0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万元，加上上级补助收入和上年结转收入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124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万元，收入总计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124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万元。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年，开发区国有资本经营预算支出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44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万元，加上调出资金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38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元，支出总计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82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万元。收支相抵，年终结余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42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万元，按规定结转下年继续使用。</w:t>
      </w:r>
    </w:p>
    <w:p w:rsidR="00D27EFF" w:rsidRDefault="006F0259">
      <w:pPr>
        <w:rPr>
          <w:rFonts w:ascii="方正楷体简体" w:eastAsia="方正楷体简体" w:hAnsi="Times New Roman" w:cs="Times New Roman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 xml:space="preserve">    </w:t>
      </w:r>
      <w:r w:rsidR="00A85882">
        <w:rPr>
          <w:rFonts w:ascii="方正楷体简体" w:eastAsia="方正楷体简体" w:hAnsi="Times New Roman" w:cs="Times New Roman" w:hint="eastAsia"/>
          <w:sz w:val="32"/>
          <w:szCs w:val="32"/>
        </w:rPr>
        <w:t>（四）社会保险基金预算执行情况</w:t>
      </w:r>
    </w:p>
    <w:p w:rsidR="00D27EFF" w:rsidRDefault="00A85882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，开发区</w:t>
      </w:r>
      <w:r>
        <w:rPr>
          <w:rFonts w:ascii="Times New Roman" w:eastAsia="方正仿宋简体" w:hAnsi="Times New Roman" w:cs="Times New Roman"/>
          <w:sz w:val="32"/>
          <w:szCs w:val="32"/>
        </w:rPr>
        <w:t>社会保险基金预算收入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5,866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>
        <w:rPr>
          <w:rFonts w:ascii="Times New Roman" w:eastAsia="方正仿宋简体" w:hAnsi="Times New Roman" w:cs="Times New Roman"/>
          <w:sz w:val="32"/>
          <w:szCs w:val="32"/>
        </w:rPr>
        <w:t>元，其中：保费收入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3,550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>
        <w:rPr>
          <w:rFonts w:ascii="Times New Roman" w:eastAsia="方正仿宋简体" w:hAnsi="Times New Roman" w:cs="Times New Roman"/>
          <w:sz w:val="32"/>
          <w:szCs w:val="32"/>
        </w:rPr>
        <w:t>元，财政补助收入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2,057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>
        <w:rPr>
          <w:rFonts w:ascii="Times New Roman" w:eastAsia="方正仿宋简体" w:hAnsi="Times New Roman" w:cs="Times New Roman"/>
          <w:sz w:val="32"/>
          <w:szCs w:val="32"/>
        </w:rPr>
        <w:t>元，转移收入、利息收入等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259</w:t>
      </w:r>
      <w:r>
        <w:rPr>
          <w:rFonts w:ascii="Times New Roman" w:eastAsia="方正仿宋简体" w:hAnsi="Times New Roman" w:cs="Times New Roman"/>
          <w:sz w:val="32"/>
          <w:szCs w:val="32"/>
        </w:rPr>
        <w:t>元。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sz w:val="32"/>
          <w:szCs w:val="32"/>
        </w:rPr>
        <w:t>年，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开发区</w:t>
      </w:r>
      <w:r>
        <w:rPr>
          <w:rFonts w:ascii="Times New Roman" w:eastAsia="方正仿宋简体" w:hAnsi="Times New Roman" w:cs="Times New Roman"/>
          <w:sz w:val="32"/>
          <w:szCs w:val="32"/>
        </w:rPr>
        <w:t>社会保险基金支出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5,641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>
        <w:rPr>
          <w:rFonts w:ascii="Times New Roman" w:eastAsia="方正仿宋简体" w:hAnsi="Times New Roman" w:cs="Times New Roman"/>
          <w:sz w:val="32"/>
          <w:szCs w:val="32"/>
        </w:rPr>
        <w:t>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，其中：社会保险待遇支出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5,640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万元，转移支出、其他支出等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>
        <w:rPr>
          <w:rFonts w:ascii="Times New Roman" w:eastAsia="方正仿宋简体" w:hAnsi="Times New Roman" w:cs="Times New Roman"/>
          <w:sz w:val="32"/>
          <w:szCs w:val="32"/>
        </w:rPr>
        <w:t>。收支相抵，当年收支结余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225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>
        <w:rPr>
          <w:rFonts w:ascii="Times New Roman" w:eastAsia="方正仿宋简体" w:hAnsi="Times New Roman" w:cs="Times New Roman"/>
          <w:sz w:val="32"/>
          <w:szCs w:val="32"/>
        </w:rPr>
        <w:t>元，按规定结转下年继续使用。</w:t>
      </w:r>
    </w:p>
    <w:p w:rsidR="00D27EFF" w:rsidRDefault="006F025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A85882">
        <w:rPr>
          <w:rFonts w:ascii="黑体" w:eastAsia="黑体" w:hAnsi="黑体" w:hint="eastAsia"/>
          <w:sz w:val="32"/>
          <w:szCs w:val="32"/>
        </w:rPr>
        <w:t>二、</w:t>
      </w:r>
      <w:r w:rsidR="00A85882">
        <w:rPr>
          <w:rFonts w:ascii="黑体" w:eastAsia="黑体" w:hAnsi="黑体" w:hint="eastAsia"/>
          <w:sz w:val="32"/>
          <w:szCs w:val="32"/>
        </w:rPr>
        <w:t xml:space="preserve">2022 </w:t>
      </w:r>
      <w:r w:rsidR="00A85882">
        <w:rPr>
          <w:rFonts w:ascii="黑体" w:eastAsia="黑体" w:hAnsi="黑体" w:hint="eastAsia"/>
          <w:sz w:val="32"/>
          <w:szCs w:val="32"/>
        </w:rPr>
        <w:t>年主要财税政策和重点工作落实情况</w:t>
      </w:r>
    </w:p>
    <w:p w:rsidR="00D27EFF" w:rsidRDefault="006F0259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 xml:space="preserve">    </w:t>
      </w:r>
      <w:r w:rsidR="00A85882">
        <w:rPr>
          <w:rFonts w:ascii="Times New Roman" w:eastAsia="楷体_GB2312" w:hAnsi="Times New Roman" w:cs="Times New Roman"/>
          <w:sz w:val="32"/>
          <w:szCs w:val="32"/>
        </w:rPr>
        <w:t>（一）加强调控，积极财政政策更加有为。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一是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全面落实各项留抵退税政策，做好服务企业工作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,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积极筹集资金，保证留抵退税资金需求。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，开发区已累计完成全口径各项留抵退税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26,190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。二是以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立项争资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为要，牢牢把握政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lastRenderedPageBreak/>
        <w:t>策机遇，大力争取上级专项资金支持开发区发展。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，累计争取上级专项资金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8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,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287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万元，完成年初下达目标任务的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1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37.28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%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对各项工作落地落实形成了有力支撑。三是严格执行直达资金管理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以直达资金监控系统为支撑，建立健全监控机制，确保资金有效运用。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，共收到上级直达资金指标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11,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746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万元，直达资金系统分配率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100%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，实际支付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,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418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万元，支付率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88.7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%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。其中社保专项资金占比达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55.3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%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D27EFF" w:rsidRDefault="006F0259">
      <w:pPr>
        <w:spacing w:line="640" w:lineRule="exact"/>
        <w:rPr>
          <w:rFonts w:ascii="方正楷体简体" w:eastAsia="方正楷体简体" w:hAnsi="Times New Roman" w:cs="Times New Roman"/>
          <w:color w:val="333333"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sz w:val="32"/>
          <w:szCs w:val="32"/>
        </w:rPr>
        <w:t xml:space="preserve">    </w:t>
      </w:r>
      <w:r w:rsidR="00A85882">
        <w:rPr>
          <w:rFonts w:ascii="Times New Roman" w:eastAsia="方正楷体简体" w:hAnsi="Times New Roman" w:cs="Times New Roman"/>
          <w:sz w:val="32"/>
          <w:szCs w:val="32"/>
        </w:rPr>
        <w:t>（二）</w:t>
      </w:r>
      <w:r w:rsidR="00A85882">
        <w:rPr>
          <w:rFonts w:ascii="方正楷体简体" w:eastAsia="方正楷体简体" w:hAnsi="Times New Roman" w:cs="Times New Roman" w:hint="eastAsia"/>
          <w:color w:val="333333"/>
          <w:sz w:val="32"/>
          <w:szCs w:val="32"/>
        </w:rPr>
        <w:t>统筹兼顾突出重点，切实兜牢“三保”底线。</w:t>
      </w:r>
      <w:r w:rsidR="00A85882">
        <w:rPr>
          <w:rFonts w:ascii="Times New Roman" w:eastAsia="方正仿宋简体" w:hAnsi="Times New Roman" w:cs="Times New Roman"/>
          <w:b/>
          <w:color w:val="333333"/>
          <w:sz w:val="32"/>
          <w:szCs w:val="32"/>
        </w:rPr>
        <w:t>一是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本着千方百计保工资、保运转、保民生，足额安排偿还政府债务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本息，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确保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收支平衡的原则合理安排财政支出。高度重视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三保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工作，把保基本民生、保工资、保运转作为财政工作的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首要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任务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，重点关注基本民生项目落实以及教师工资、低保等重点群体补助资金的发放等情况，确保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三保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支出应保尽保，不留缺口。</w:t>
      </w:r>
      <w:r w:rsidR="00A85882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2022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年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三保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支出</w:t>
      </w:r>
      <w:r w:rsidR="00A85882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43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,</w:t>
      </w:r>
      <w:r w:rsidR="00A85882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157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万元，占一般公共预算</w:t>
      </w:r>
      <w:r w:rsidR="00A85882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支出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比重为</w:t>
      </w:r>
      <w:r w:rsidR="00A85882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39.24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%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。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二是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强化疫情防控经费保障。优先保障疫情防控经费需求，</w:t>
      </w:r>
      <w:r w:rsidR="00A85882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2022</w:t>
      </w:r>
      <w:r w:rsidR="00A85882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年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疫情防控资金</w:t>
      </w:r>
      <w:r w:rsidR="00A85882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支出</w:t>
      </w:r>
      <w:r w:rsidR="00A85882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3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,</w:t>
      </w:r>
      <w:r w:rsidR="00A85882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507</w:t>
      </w:r>
      <w:r w:rsidR="00A85882">
        <w:rPr>
          <w:rFonts w:ascii="Times New Roman" w:eastAsia="方正仿宋简体" w:hAnsi="Times New Roman" w:cs="Times New Roman"/>
          <w:color w:val="333333"/>
          <w:sz w:val="32"/>
          <w:szCs w:val="32"/>
        </w:rPr>
        <w:t>万元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，大力支持医疗物资购置、新冠疫苗全民免费接种，全力支持重大疫情防控救治和应急物资保障体系建设。</w:t>
      </w:r>
    </w:p>
    <w:p w:rsidR="00D27EFF" w:rsidRDefault="006F0259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sz w:val="32"/>
          <w:szCs w:val="32"/>
        </w:rPr>
        <w:t xml:space="preserve">    </w:t>
      </w:r>
      <w:r w:rsidR="00A85882">
        <w:rPr>
          <w:rFonts w:ascii="Times New Roman" w:eastAsia="方正楷体简体" w:hAnsi="Times New Roman" w:cs="Times New Roman"/>
          <w:sz w:val="32"/>
          <w:szCs w:val="32"/>
        </w:rPr>
        <w:t>（</w:t>
      </w:r>
      <w:r w:rsidR="00A85882">
        <w:rPr>
          <w:rFonts w:ascii="Times New Roman" w:eastAsia="方正楷体简体" w:hAnsi="Times New Roman" w:cs="Times New Roman" w:hint="eastAsia"/>
          <w:sz w:val="32"/>
          <w:szCs w:val="32"/>
        </w:rPr>
        <w:t>三</w:t>
      </w:r>
      <w:r w:rsidR="00A85882">
        <w:rPr>
          <w:rFonts w:ascii="Times New Roman" w:eastAsia="方正楷体简体" w:hAnsi="Times New Roman" w:cs="Times New Roman"/>
          <w:sz w:val="32"/>
          <w:szCs w:val="32"/>
        </w:rPr>
        <w:t>）强作风提效能，财税体制改革全面深化。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一是深化预算管理改革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。贯彻落实《关于进一步深化预算管理制度改革的实施意见》，加强部门和单位各项收支管理，不断优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lastRenderedPageBreak/>
        <w:t>化财政资源配置。完善项目预算分年度安排机制，推进跨年度预算平衡，强化预算约束。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二是强化预算绩效管理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。将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四本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预算、重点民生领域、政府投融资活动等全部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纳入绩效管理，实现绩效目标管理全覆盖。推进事前绩效评估，开展重点评价，建立第三方机构参与绩效管理机制，提升预算管理水平。</w:t>
      </w:r>
    </w:p>
    <w:p w:rsidR="00D27EFF" w:rsidRDefault="006F025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A85882">
        <w:rPr>
          <w:rFonts w:ascii="黑体" w:eastAsia="黑体" w:hAnsi="黑体" w:hint="eastAsia"/>
          <w:sz w:val="32"/>
          <w:szCs w:val="32"/>
        </w:rPr>
        <w:t>三、</w:t>
      </w:r>
      <w:r w:rsidR="00A85882">
        <w:rPr>
          <w:rFonts w:ascii="黑体" w:eastAsia="黑体" w:hAnsi="黑体" w:hint="eastAsia"/>
          <w:sz w:val="32"/>
          <w:szCs w:val="32"/>
        </w:rPr>
        <w:t xml:space="preserve">2023 </w:t>
      </w:r>
      <w:r w:rsidR="00A85882">
        <w:rPr>
          <w:rFonts w:ascii="黑体" w:eastAsia="黑体" w:hAnsi="黑体" w:hint="eastAsia"/>
          <w:sz w:val="32"/>
          <w:szCs w:val="32"/>
        </w:rPr>
        <w:t>年预算安排情况</w:t>
      </w:r>
    </w:p>
    <w:p w:rsidR="00D27EFF" w:rsidRDefault="006F0259">
      <w:pPr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t xml:space="preserve">    </w:t>
      </w:r>
      <w:r w:rsidR="00A85882">
        <w:rPr>
          <w:rFonts w:ascii="方正楷体简体" w:eastAsia="方正楷体简体" w:hint="eastAsia"/>
          <w:sz w:val="32"/>
          <w:szCs w:val="32"/>
        </w:rPr>
        <w:t>（</w:t>
      </w:r>
      <w:r w:rsidR="00A85882">
        <w:rPr>
          <w:rFonts w:ascii="方正楷体简体" w:eastAsia="方正楷体简体" w:hAnsi="黑体" w:hint="eastAsia"/>
          <w:sz w:val="32"/>
          <w:szCs w:val="32"/>
        </w:rPr>
        <w:t>一</w:t>
      </w:r>
      <w:r w:rsidR="00A85882">
        <w:rPr>
          <w:rFonts w:ascii="方正楷体简体" w:eastAsia="方正楷体简体" w:hint="eastAsia"/>
          <w:sz w:val="32"/>
          <w:szCs w:val="32"/>
        </w:rPr>
        <w:t>）</w:t>
      </w:r>
      <w:r w:rsidR="00A85882">
        <w:rPr>
          <w:rFonts w:ascii="方正楷体简体" w:eastAsia="方正楷体简体" w:hAnsi="黑体" w:hint="eastAsia"/>
          <w:sz w:val="32"/>
          <w:szCs w:val="32"/>
        </w:rPr>
        <w:t>预算编制的指导思想和基本原则</w:t>
      </w:r>
    </w:p>
    <w:p w:rsidR="00D27EFF" w:rsidRDefault="006F0259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   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编制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 xml:space="preserve"> 202</w:t>
      </w:r>
      <w:r w:rsidR="00A85882">
        <w:rPr>
          <w:rFonts w:ascii="Times New Roman" w:eastAsia="方正仿宋简体" w:hAnsi="Times New Roman" w:cs="Times New Roman" w:hint="eastAsia"/>
          <w:b/>
          <w:sz w:val="32"/>
          <w:szCs w:val="32"/>
        </w:rPr>
        <w:t>3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 xml:space="preserve"> 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年预算的指导思想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：以习近平新时代中国特色社会主义思想为指导，全面贯彻落实党的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二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十大和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二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十届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一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次全会精神，以及中央、自治区、全市经济工作会议精神，弘扬伟大建党精神，增强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四个意识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、坚定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四个自信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、做到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两个维护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，坚持稳中求进工作总基调，坚定不移贯彻新发展理念，统筹发展和安全，继续做好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六稳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、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六保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工作，全面推进积极财政政策提升效能、更可持续；坚持政府过紧日子，加强财政资源统筹；大力优化支出结构，提高支出精准度，增强重大战略任务财力保障；进一步深化预算管理制度改革，加快建立现代财政制度；防范化解政府债务风险，坚决遏制新增地方政府隐性债务，增强财政可持续性；扎实走好以生态优先、绿色发展为导向的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高质量发展新路子。</w:t>
      </w:r>
    </w:p>
    <w:p w:rsidR="00D27EFF" w:rsidRDefault="006F025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 xml:space="preserve">    </w:t>
      </w:r>
      <w:r w:rsidR="00A85882">
        <w:rPr>
          <w:rFonts w:ascii="方正仿宋简体" w:eastAsia="方正仿宋简体" w:hint="eastAsia"/>
          <w:b/>
          <w:sz w:val="32"/>
          <w:szCs w:val="32"/>
        </w:rPr>
        <w:t>预算编制遵循的基本原则</w:t>
      </w:r>
      <w:r w:rsidR="00A85882">
        <w:rPr>
          <w:rFonts w:ascii="方正仿宋简体" w:eastAsia="方正仿宋简体" w:hint="eastAsia"/>
          <w:sz w:val="32"/>
          <w:szCs w:val="32"/>
        </w:rPr>
        <w:t>：一是收入预算实事求是、科学预测，与经济社会发展水平相适应，与积极财政政策相衔</w:t>
      </w:r>
      <w:r w:rsidR="00A85882">
        <w:rPr>
          <w:rFonts w:ascii="方正仿宋简体" w:eastAsia="方正仿宋简体" w:hint="eastAsia"/>
          <w:sz w:val="32"/>
          <w:szCs w:val="32"/>
        </w:rPr>
        <w:lastRenderedPageBreak/>
        <w:t>接；二是支出预算体现导向性，与贯彻新发展理念、构建新发展格局的要求相协调；</w:t>
      </w:r>
      <w:r w:rsidR="00A85882">
        <w:rPr>
          <w:rFonts w:ascii="方正仿宋简体" w:eastAsia="方正仿宋简体" w:hint="eastAsia"/>
          <w:sz w:val="32"/>
          <w:szCs w:val="32"/>
        </w:rPr>
        <w:t xml:space="preserve"> </w:t>
      </w:r>
      <w:r w:rsidR="00A85882">
        <w:rPr>
          <w:rFonts w:ascii="方正仿宋简体" w:eastAsia="方正仿宋简体" w:hint="eastAsia"/>
          <w:sz w:val="32"/>
          <w:szCs w:val="32"/>
        </w:rPr>
        <w:t>三是坚持严管严控，继续压减一般性支出和非急需、非刚性支出，对于不是国家</w:t>
      </w:r>
      <w:r w:rsidR="00A85882">
        <w:rPr>
          <w:rFonts w:ascii="方正仿宋简体" w:eastAsia="方正仿宋简体" w:hint="eastAsia"/>
          <w:sz w:val="32"/>
          <w:szCs w:val="32"/>
        </w:rPr>
        <w:t>、</w:t>
      </w:r>
      <w:r w:rsidR="00A85882">
        <w:rPr>
          <w:rFonts w:ascii="方正仿宋简体" w:eastAsia="方正仿宋简体" w:hint="eastAsia"/>
          <w:sz w:val="32"/>
          <w:szCs w:val="32"/>
        </w:rPr>
        <w:t>自治区政策明确要求的、不是党工委管委会议定的、不是前期立项完成且手续完备的项目支出，均不安排预算或新增预算；</w:t>
      </w:r>
      <w:r w:rsidR="00A85882">
        <w:rPr>
          <w:rFonts w:ascii="方正仿宋简体" w:eastAsia="方正仿宋简体" w:hint="eastAsia"/>
          <w:sz w:val="32"/>
          <w:szCs w:val="32"/>
        </w:rPr>
        <w:t xml:space="preserve"> </w:t>
      </w:r>
      <w:r w:rsidR="00A85882">
        <w:rPr>
          <w:rFonts w:ascii="方正仿宋简体" w:eastAsia="方正仿宋简体" w:hint="eastAsia"/>
          <w:sz w:val="32"/>
          <w:szCs w:val="32"/>
        </w:rPr>
        <w:t>四是强化风险意识，加强重大建设项目财政承受能力评估，做好兜底性、基础性民生保障，足额列支“三保”和政府债务还本付息资金，守住财政运行的</w:t>
      </w:r>
      <w:r w:rsidR="00A85882">
        <w:rPr>
          <w:rFonts w:ascii="方正仿宋简体" w:eastAsia="方正仿宋简体" w:hint="eastAsia"/>
          <w:sz w:val="32"/>
          <w:szCs w:val="32"/>
        </w:rPr>
        <w:t>风险底线；</w:t>
      </w:r>
      <w:r w:rsidR="00A85882">
        <w:rPr>
          <w:rFonts w:ascii="方正仿宋简体" w:eastAsia="方正仿宋简体" w:hint="eastAsia"/>
          <w:sz w:val="32"/>
          <w:szCs w:val="32"/>
        </w:rPr>
        <w:t xml:space="preserve"> </w:t>
      </w:r>
      <w:r w:rsidR="00A85882">
        <w:rPr>
          <w:rFonts w:ascii="方正仿宋简体" w:eastAsia="方正仿宋简体" w:hint="eastAsia"/>
          <w:sz w:val="32"/>
          <w:szCs w:val="32"/>
        </w:rPr>
        <w:t>五是突出绩效管理，做好绩效目标编制和评价工作，加强绩效评价结果应用，大力削减或取消低效无效支出。</w:t>
      </w:r>
    </w:p>
    <w:p w:rsidR="00D27EFF" w:rsidRDefault="006F0259">
      <w:pPr>
        <w:rPr>
          <w:rFonts w:ascii="Times New Roman" w:eastAsia="方正楷体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sz w:val="32"/>
          <w:szCs w:val="32"/>
        </w:rPr>
        <w:t xml:space="preserve">    </w:t>
      </w:r>
      <w:r w:rsidR="00A85882">
        <w:rPr>
          <w:rFonts w:ascii="Times New Roman" w:eastAsia="方正楷体简体" w:hAnsi="Times New Roman" w:cs="Times New Roman"/>
          <w:sz w:val="32"/>
          <w:szCs w:val="32"/>
        </w:rPr>
        <w:t>（二）收入预期目标和总体支出安排</w:t>
      </w:r>
    </w:p>
    <w:p w:rsidR="00D27EFF" w:rsidRDefault="006F0259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   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 xml:space="preserve"> 1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、一般公共预算。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 xml:space="preserve">2023 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年，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开发区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一般公共预算总收入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85,934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元，其中：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①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一般公共预算收入预计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98,328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元；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②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上级补助收入预计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-12,394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元。</w:t>
      </w:r>
    </w:p>
    <w:p w:rsidR="00D27EFF" w:rsidRDefault="00A85882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/>
          <w:sz w:val="32"/>
          <w:szCs w:val="32"/>
        </w:rPr>
        <w:t>按照收支平衡原则，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开发区</w:t>
      </w:r>
      <w:r>
        <w:rPr>
          <w:rFonts w:ascii="Times New Roman" w:eastAsia="方正仿宋简体" w:hAnsi="Times New Roman" w:cs="Times New Roman"/>
          <w:sz w:val="32"/>
          <w:szCs w:val="32"/>
        </w:rPr>
        <w:t>一般公共预算总支出安排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85,934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>
        <w:rPr>
          <w:rFonts w:ascii="Times New Roman" w:eastAsia="方正仿宋简体" w:hAnsi="Times New Roman" w:cs="Times New Roman"/>
          <w:sz w:val="32"/>
          <w:szCs w:val="32"/>
        </w:rPr>
        <w:t>元，其中：</w:t>
      </w:r>
      <w:r>
        <w:rPr>
          <w:rFonts w:ascii="Times New Roman" w:eastAsia="方正仿宋简体" w:hAnsi="Times New Roman" w:cs="Times New Roman"/>
          <w:sz w:val="32"/>
          <w:szCs w:val="32"/>
        </w:rPr>
        <w:t>①</w:t>
      </w:r>
      <w:r>
        <w:rPr>
          <w:rFonts w:ascii="Times New Roman" w:eastAsia="方正仿宋简体" w:hAnsi="Times New Roman" w:cs="Times New Roman"/>
          <w:sz w:val="32"/>
          <w:szCs w:val="32"/>
        </w:rPr>
        <w:t>本级支出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79,535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>
        <w:rPr>
          <w:rFonts w:ascii="Times New Roman" w:eastAsia="方正仿宋简体" w:hAnsi="Times New Roman" w:cs="Times New Roman"/>
          <w:sz w:val="32"/>
          <w:szCs w:val="32"/>
        </w:rPr>
        <w:t>元；</w:t>
      </w:r>
      <w:r>
        <w:rPr>
          <w:rFonts w:ascii="Times New Roman" w:eastAsia="方正仿宋简体" w:hAnsi="Times New Roman" w:cs="Times New Roman"/>
          <w:sz w:val="32"/>
          <w:szCs w:val="32"/>
        </w:rPr>
        <w:t>②</w:t>
      </w:r>
      <w:r>
        <w:rPr>
          <w:rFonts w:ascii="Times New Roman" w:eastAsia="方正仿宋简体" w:hAnsi="Times New Roman" w:cs="Times New Roman"/>
          <w:sz w:val="32"/>
          <w:szCs w:val="32"/>
        </w:rPr>
        <w:t>上解上级支出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-227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>
        <w:rPr>
          <w:rFonts w:ascii="Times New Roman" w:eastAsia="方正仿宋简体" w:hAnsi="Times New Roman" w:cs="Times New Roman"/>
          <w:sz w:val="32"/>
          <w:szCs w:val="32"/>
        </w:rPr>
        <w:t>元；</w:t>
      </w:r>
      <w:r>
        <w:rPr>
          <w:rFonts w:ascii="Times New Roman" w:eastAsia="方正仿宋简体" w:hAnsi="Times New Roman" w:cs="Times New Roman"/>
          <w:sz w:val="32"/>
          <w:szCs w:val="32"/>
        </w:rPr>
        <w:t>③</w:t>
      </w:r>
      <w:r>
        <w:rPr>
          <w:rFonts w:ascii="Times New Roman" w:eastAsia="方正仿宋简体" w:hAnsi="Times New Roman" w:cs="Times New Roman"/>
          <w:sz w:val="32"/>
          <w:szCs w:val="32"/>
        </w:rPr>
        <w:t>预备费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1,200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>
        <w:rPr>
          <w:rFonts w:ascii="Times New Roman" w:eastAsia="方正仿宋简体" w:hAnsi="Times New Roman" w:cs="Times New Roman"/>
          <w:sz w:val="32"/>
          <w:szCs w:val="32"/>
        </w:rPr>
        <w:t>元；</w:t>
      </w:r>
      <w:r>
        <w:rPr>
          <w:rFonts w:ascii="Times New Roman" w:eastAsia="方正仿宋简体" w:hAnsi="Times New Roman" w:cs="Times New Roman"/>
          <w:sz w:val="32"/>
          <w:szCs w:val="32"/>
        </w:rPr>
        <w:t>④</w:t>
      </w:r>
      <w:r>
        <w:rPr>
          <w:rFonts w:ascii="Times New Roman" w:eastAsia="方正仿宋简体" w:hAnsi="Times New Roman" w:cs="Times New Roman"/>
          <w:sz w:val="32"/>
          <w:szCs w:val="32"/>
        </w:rPr>
        <w:t>债务还本支出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5,426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>
        <w:rPr>
          <w:rFonts w:ascii="Times New Roman" w:eastAsia="方正仿宋简体" w:hAnsi="Times New Roman" w:cs="Times New Roman"/>
          <w:sz w:val="32"/>
          <w:szCs w:val="32"/>
        </w:rPr>
        <w:t>元。</w:t>
      </w:r>
    </w:p>
    <w:p w:rsidR="00D27EFF" w:rsidRDefault="006F0259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   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2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、政府性基金预算。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，开发区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政府性基金预算总收入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55,000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元，其中：政府性基金收入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55,000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元。按照以收定支、专款专用的原则，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开发区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政府性基金预算总支出安排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55,000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元，其中：政府性基金预算支出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55,000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D27EFF" w:rsidRDefault="006F0259">
      <w:pPr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   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3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、国有资本经营预算。</w:t>
      </w:r>
    </w:p>
    <w:p w:rsidR="00D27EFF" w:rsidRDefault="006F0259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因开发区国企没有可上缴利润，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2023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年开发区国有资本经营预算编制零预算。</w:t>
      </w:r>
    </w:p>
    <w:p w:rsidR="00D27EFF" w:rsidRDefault="006F0259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   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4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、社会保险基金预算。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2023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年，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开发区社会保险基金预算收入预计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6,318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万元，其中：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①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保费收入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3,048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万元；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②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财政补助收入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3,150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万元；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③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利息收入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56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万元；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④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委托投资收益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61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万元；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⑤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其他收入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万元。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年，开发区社会保险基金支出安排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6,057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万元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，其中：社会保险待遇支出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6,056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万元，转移支出、其他支出等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。收支相抵，预计当年结余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261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万元。</w:t>
      </w:r>
    </w:p>
    <w:p w:rsidR="00D27EFF" w:rsidRDefault="006F0259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   </w:t>
      </w:r>
      <w:r w:rsidR="00A85882">
        <w:rPr>
          <w:rFonts w:ascii="Times New Roman" w:eastAsia="方正仿宋简体" w:hAnsi="Times New Roman" w:cs="Times New Roman" w:hint="eastAsia"/>
          <w:b/>
          <w:sz w:val="32"/>
          <w:szCs w:val="32"/>
        </w:rPr>
        <w:t>5</w:t>
      </w:r>
      <w:r w:rsidR="00A85882">
        <w:rPr>
          <w:rFonts w:ascii="Times New Roman" w:eastAsia="方正仿宋简体" w:hAnsi="Times New Roman" w:cs="Times New Roman" w:hint="eastAsia"/>
          <w:b/>
          <w:sz w:val="32"/>
          <w:szCs w:val="32"/>
        </w:rPr>
        <w:t>、举借债务主要用途及偿债计划。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 xml:space="preserve">2023 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年，开发区将在政府债务限额内积极争取新增债券，用于重点项目和在建项目后续融资。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 xml:space="preserve">2023 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年，开发区到期政府债务本息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69,120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万元，其中本金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54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,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156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万元，利息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14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,964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万元。对到期政府债务本金，按不低于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10%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的比例列入预算偿还，其余通过发行再融资债券偿还。对到期利息，全部列入预算，按时足额偿还。</w:t>
      </w:r>
    </w:p>
    <w:p w:rsidR="00D27EFF" w:rsidRDefault="006F0259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   </w:t>
      </w:r>
      <w:r w:rsidR="00A85882">
        <w:rPr>
          <w:rFonts w:ascii="黑体" w:eastAsia="黑体" w:hAnsi="黑体" w:cs="Times New Roman" w:hint="eastAsia"/>
          <w:sz w:val="32"/>
          <w:szCs w:val="32"/>
        </w:rPr>
        <w:t>四、</w:t>
      </w:r>
      <w:r w:rsidR="00A85882">
        <w:rPr>
          <w:rFonts w:ascii="黑体" w:eastAsia="黑体" w:hAnsi="黑体" w:cs="Times New Roman" w:hint="eastAsia"/>
          <w:sz w:val="32"/>
          <w:szCs w:val="32"/>
        </w:rPr>
        <w:t xml:space="preserve">2023 </w:t>
      </w:r>
      <w:r w:rsidR="00A85882">
        <w:rPr>
          <w:rFonts w:ascii="黑体" w:eastAsia="黑体" w:hAnsi="黑体" w:cs="Times New Roman" w:hint="eastAsia"/>
          <w:sz w:val="32"/>
          <w:szCs w:val="32"/>
        </w:rPr>
        <w:t>年开发区重点支出预算安排情况</w:t>
      </w:r>
    </w:p>
    <w:p w:rsidR="00D27EFF" w:rsidRDefault="006F0259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sz w:val="32"/>
          <w:szCs w:val="32"/>
        </w:rPr>
        <w:t xml:space="preserve">    </w:t>
      </w:r>
      <w:r w:rsidR="00A85882">
        <w:rPr>
          <w:rFonts w:ascii="Times New Roman" w:eastAsia="方正楷体简体" w:hAnsi="Times New Roman" w:cs="Times New Roman"/>
          <w:sz w:val="32"/>
          <w:szCs w:val="32"/>
        </w:rPr>
        <w:t>（一）稳住基本，落实刚性保障新要求。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一是保民生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。坚持把保障民生支出作为硬任务，安排资金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9,330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元，其中：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①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安排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,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769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重点保障困难群众救助、城乡居民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基本养老保险、城乡居民医疗保险、基本公共卫生服务、村级运转支出和疫情防控支出等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，压实兜底保障责任；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②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安排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2,965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用于新建新城二小教学楼等教育基础设施建设项目，改善教育办学条件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；</w:t>
      </w:r>
      <w:r w:rsidR="00A85882">
        <w:rPr>
          <w:rFonts w:ascii="宋体" w:eastAsia="宋体" w:hAnsi="宋体" w:cs="宋体" w:hint="eastAsia"/>
          <w:sz w:val="32"/>
          <w:szCs w:val="32"/>
        </w:rPr>
        <w:t>③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安排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1,342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万元，支持壮大嘎查村集体经济、绿色农畜产品生产发展，推进乡村全面振兴；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④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安排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254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元，促进就业创业和人才培养，保障高校毕业生、退役军人等重点群体就业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二是保工资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。采取扎实有效的工作举措，安排工资性支出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,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073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万元，足额保障单位工资和社会保障缴费支出需求，补充机关事业单位养老保险基金运行缺口，积极落实各项重点工资政策。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三是保运转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。根据行政事业单位承担的职责任务，安排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,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940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，保障基本运转。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四是防风险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。按照坚定、可控、有序、适度的总体要求，安排债务风险防范化解资金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14,737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，全力推进政府债务风险化解工作，牢牢守住不发生系统性风险的底线。</w:t>
      </w:r>
    </w:p>
    <w:p w:rsidR="00D27EFF" w:rsidRDefault="006F0259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sz w:val="32"/>
          <w:szCs w:val="32"/>
        </w:rPr>
        <w:t xml:space="preserve">    </w:t>
      </w:r>
      <w:r w:rsidR="00A85882">
        <w:rPr>
          <w:rFonts w:ascii="Times New Roman" w:eastAsia="方正楷体简体" w:hAnsi="Times New Roman" w:cs="Times New Roman"/>
          <w:sz w:val="32"/>
          <w:szCs w:val="32"/>
        </w:rPr>
        <w:t>（二）聚焦重点，突出培优增效新作为。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一是</w:t>
      </w:r>
      <w:r w:rsidR="00A85882">
        <w:rPr>
          <w:rFonts w:ascii="Times New Roman" w:eastAsia="方正仿宋简体" w:hAnsi="Times New Roman" w:cs="Times New Roman"/>
          <w:b/>
          <w:bCs/>
          <w:sz w:val="32"/>
          <w:szCs w:val="32"/>
        </w:rPr>
        <w:t>强化招商引资投入。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安排资金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,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000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元，加大实体经济招商引资力度，做大做强园区经济，优化企业发展机会和空间。</w:t>
      </w:r>
      <w:r w:rsidR="00A85882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二是持续优化营商环境</w:t>
      </w:r>
      <w:r w:rsidR="00A85882">
        <w:rPr>
          <w:rFonts w:ascii="Times New Roman" w:eastAsia="方正仿宋简体" w:hAnsi="Times New Roman" w:cs="Times New Roman"/>
          <w:b/>
          <w:bCs/>
          <w:sz w:val="32"/>
          <w:szCs w:val="32"/>
        </w:rPr>
        <w:t>。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安排资金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13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,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000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其中用于兑现扶持企业优惠政策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,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000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,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兑现明华物流法院裁定补偿款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,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000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D27EFF" w:rsidRDefault="006F0259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sz w:val="32"/>
          <w:szCs w:val="32"/>
        </w:rPr>
        <w:t xml:space="preserve">    </w:t>
      </w:r>
      <w:r w:rsidR="00A85882">
        <w:rPr>
          <w:rFonts w:ascii="Times New Roman" w:eastAsia="方正楷体简体" w:hAnsi="Times New Roman" w:cs="Times New Roman"/>
          <w:sz w:val="32"/>
          <w:szCs w:val="32"/>
        </w:rPr>
        <w:t>（三）夯实基础，</w:t>
      </w:r>
      <w:r w:rsidR="00A85882">
        <w:rPr>
          <w:rFonts w:ascii="Times New Roman" w:eastAsia="方正楷体简体" w:hAnsi="Times New Roman" w:cs="Times New Roman" w:hint="eastAsia"/>
          <w:sz w:val="32"/>
          <w:szCs w:val="32"/>
        </w:rPr>
        <w:t>促进城市管理提质升级</w:t>
      </w:r>
      <w:r w:rsidR="00A85882">
        <w:rPr>
          <w:rFonts w:ascii="Times New Roman" w:eastAsia="方正楷体简体" w:hAnsi="Times New Roman" w:cs="Times New Roman"/>
          <w:sz w:val="32"/>
          <w:szCs w:val="32"/>
        </w:rPr>
        <w:t>。</w:t>
      </w:r>
      <w:r w:rsidR="00A85882">
        <w:rPr>
          <w:rFonts w:ascii="Times New Roman" w:eastAsia="方正仿宋简体" w:hAnsi="Times New Roman" w:cs="Times New Roman"/>
          <w:b/>
          <w:bCs/>
          <w:sz w:val="32"/>
          <w:szCs w:val="32"/>
        </w:rPr>
        <w:t>一是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城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市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污水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污泥垃圾处理费、中心城区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环卫一体化服务费等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安排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11,536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元，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二是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市政基础设施运行维护、城区绿化养护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资金安排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,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017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元。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提高城市综合管理水平，改善城区人居环境。</w:t>
      </w:r>
    </w:p>
    <w:p w:rsidR="00D27EFF" w:rsidRDefault="006F0259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   </w:t>
      </w:r>
      <w:r w:rsidR="00A85882">
        <w:rPr>
          <w:rFonts w:ascii="黑体" w:eastAsia="黑体" w:hAnsi="黑体" w:cs="Times New Roman" w:hint="eastAsia"/>
          <w:sz w:val="32"/>
          <w:szCs w:val="32"/>
        </w:rPr>
        <w:t>五、落实</w:t>
      </w:r>
      <w:r w:rsidR="00A85882">
        <w:rPr>
          <w:rFonts w:ascii="黑体" w:eastAsia="黑体" w:hAnsi="黑体" w:cs="Times New Roman" w:hint="eastAsia"/>
          <w:sz w:val="32"/>
          <w:szCs w:val="32"/>
        </w:rPr>
        <w:t xml:space="preserve"> 2023 </w:t>
      </w:r>
      <w:r w:rsidR="00A85882">
        <w:rPr>
          <w:rFonts w:ascii="黑体" w:eastAsia="黑体" w:hAnsi="黑体" w:cs="Times New Roman" w:hint="eastAsia"/>
          <w:sz w:val="32"/>
          <w:szCs w:val="32"/>
        </w:rPr>
        <w:t>年预算任务的主要措施</w:t>
      </w:r>
    </w:p>
    <w:p w:rsidR="00D27EFF" w:rsidRDefault="006F0259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sz w:val="32"/>
          <w:szCs w:val="32"/>
        </w:rPr>
        <w:t xml:space="preserve">    </w:t>
      </w:r>
      <w:r w:rsidR="00A85882">
        <w:rPr>
          <w:rFonts w:ascii="Times New Roman" w:eastAsia="方正楷体简体" w:hAnsi="Times New Roman" w:cs="Times New Roman"/>
          <w:sz w:val="32"/>
          <w:szCs w:val="32"/>
        </w:rPr>
        <w:t>（一）深化预算执行管理。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坚持“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稳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字当头，加强对财政经济形势的分析研判，增强收支管理的前瞻性、系统性、精准性。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一是</w:t>
      </w:r>
      <w:r w:rsidR="00A85882">
        <w:rPr>
          <w:rFonts w:ascii="Times New Roman" w:eastAsia="方正仿宋简体" w:hAnsi="Times New Roman" w:cs="Times New Roman" w:hint="eastAsia"/>
          <w:b/>
          <w:sz w:val="32"/>
          <w:szCs w:val="32"/>
        </w:rPr>
        <w:t>坚持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收入精细化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深化重点税源监控和结构分析，着力提高税收收入质量。依法依规组织非税收入，做到应收尽收，应缴尽缴。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二是</w:t>
      </w:r>
      <w:r w:rsidR="00A85882">
        <w:rPr>
          <w:rFonts w:ascii="Times New Roman" w:eastAsia="方正仿宋简体" w:hAnsi="Times New Roman" w:cs="Times New Roman" w:hint="eastAsia"/>
          <w:b/>
          <w:sz w:val="32"/>
          <w:szCs w:val="32"/>
        </w:rPr>
        <w:t>坚持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支出规范化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坚持预算法定，强化制度约束。坚持有保有压、先有预算、后有支出，严格预算支出总量管理。严禁随意调整用途，确须增加的支出，应先在部门预算额度内统筹调剂。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三是</w:t>
      </w:r>
      <w:r w:rsidR="00A85882">
        <w:rPr>
          <w:rFonts w:ascii="Times New Roman" w:eastAsia="方正仿宋简体" w:hAnsi="Times New Roman" w:cs="Times New Roman" w:hint="eastAsia"/>
          <w:b/>
          <w:sz w:val="32"/>
          <w:szCs w:val="32"/>
        </w:rPr>
        <w:t>坚持监管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科学化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依托预算管理一体化系统建设，对项目资金实行常态化穿透式监控，对国库集中支付资金实行动态监控预警，对部门和单位绩效目标的实现程度和预算执行进度实行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双监控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，全面提高预算管理标准化、信息化水平。同时，主动接受人大监督，认真贯彻市人大及其常委会决议、审查意见、专题询问，夯实预算监督基础。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四是</w:t>
      </w:r>
      <w:r w:rsidR="00A85882">
        <w:rPr>
          <w:rFonts w:ascii="Times New Roman" w:eastAsia="方正仿宋简体" w:hAnsi="Times New Roman" w:cs="Times New Roman" w:hint="eastAsia"/>
          <w:b/>
          <w:sz w:val="32"/>
          <w:szCs w:val="32"/>
        </w:rPr>
        <w:t>坚持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预算节约化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。深化预算管理改革，实施预算安排与部门支出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进度、审计和巡视整改、部门预算调剂挂钩，统筹调控部门结转资金和下年度预算安排，严控一般性支出和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三公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经费，把政府过紧日子的要求落到实处，集中力量保障中央、自治区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、通辽市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和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开发区党工委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管委会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确定的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重大战略、重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要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政策和重点项目。</w:t>
      </w:r>
    </w:p>
    <w:p w:rsidR="00D27EFF" w:rsidRDefault="006F0259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sz w:val="32"/>
          <w:szCs w:val="32"/>
        </w:rPr>
        <w:t xml:space="preserve">    </w:t>
      </w:r>
      <w:r w:rsidR="00A85882">
        <w:rPr>
          <w:rFonts w:ascii="Times New Roman" w:eastAsia="方正楷体简体" w:hAnsi="Times New Roman" w:cs="Times New Roman"/>
          <w:sz w:val="32"/>
          <w:szCs w:val="32"/>
        </w:rPr>
        <w:t>（二）</w:t>
      </w:r>
      <w:r w:rsidR="00A85882">
        <w:rPr>
          <w:rFonts w:ascii="Times New Roman" w:eastAsia="方正楷体简体" w:hAnsi="Times New Roman" w:cs="Times New Roman" w:hint="eastAsia"/>
          <w:sz w:val="32"/>
          <w:szCs w:val="32"/>
        </w:rPr>
        <w:t>加强</w:t>
      </w:r>
      <w:r w:rsidR="00A85882">
        <w:rPr>
          <w:rFonts w:ascii="Times New Roman" w:eastAsia="方正楷体简体" w:hAnsi="Times New Roman" w:cs="Times New Roman"/>
          <w:sz w:val="32"/>
          <w:szCs w:val="32"/>
        </w:rPr>
        <w:t>财政风险管理。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一是兜牢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三保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保障底线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。强化底线思维，坚持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三保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支出在财政支出中的优先地位，严禁挤占挪用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三保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资金。严格执行县级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三保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预算审核机制，着眼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三保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资金的预算安排、资金调度和执行管理等关键环节，实行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三保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监控常态化管理，落实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三保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保障清单，坚决防范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三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风险。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二是守牢债务风险底线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。坚决遏制隐性债务增量、妥善化解隐性债务存量，</w:t>
      </w:r>
      <w:r w:rsidR="00A85882">
        <w:rPr>
          <w:rFonts w:ascii="Times New Roman" w:eastAsia="方正仿宋简体" w:hAnsi="Times New Roman" w:cs="Times New Roman" w:hint="eastAsia"/>
          <w:sz w:val="32"/>
          <w:szCs w:val="32"/>
        </w:rPr>
        <w:t>足额安排债务化解资金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，切实防范化解债务风险。</w:t>
      </w:r>
      <w:r w:rsidR="00A85882">
        <w:rPr>
          <w:rFonts w:ascii="Times New Roman" w:eastAsia="方正仿宋简体" w:hAnsi="Times New Roman" w:cs="Times New Roman"/>
          <w:b/>
          <w:sz w:val="32"/>
          <w:szCs w:val="32"/>
        </w:rPr>
        <w:t>三是把牢库款保障底线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。加强库款运行监测，做好库款形势的分析研判，合理预判全年资金需求，科学安排支出顺序，强化资金保障能力。</w:t>
      </w:r>
    </w:p>
    <w:p w:rsidR="00D27EFF" w:rsidRDefault="006F0259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 xml:space="preserve">    </w:t>
      </w:r>
      <w:r w:rsidR="00A85882">
        <w:rPr>
          <w:rFonts w:ascii="Times New Roman" w:eastAsia="楷体_GB2312" w:hAnsi="Times New Roman" w:cs="Times New Roman"/>
          <w:sz w:val="32"/>
          <w:szCs w:val="32"/>
        </w:rPr>
        <w:t>（三）落实预算绩效管理</w:t>
      </w:r>
      <w:r w:rsidR="00A85882">
        <w:rPr>
          <w:rFonts w:ascii="Times New Roman" w:eastAsia="方正楷体简体" w:hAnsi="Times New Roman" w:cs="Times New Roman"/>
          <w:sz w:val="32"/>
          <w:szCs w:val="32"/>
        </w:rPr>
        <w:t>。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构建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全方位、全过程、全覆盖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的预算绩效管理体系，推动建立事前绩效评估机制，开展重点绩效评价工作，加强绩效评价结果运用，建立绩效评价结果与预算安排和政策调整挂钩机制，健全绩效评价结果反馈和问题整改责任制，形成反馈、整改、提升绩效的良性循环。</w:t>
      </w:r>
    </w:p>
    <w:p w:rsidR="00D27EFF" w:rsidRDefault="006F0259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 xml:space="preserve">    </w:t>
      </w:r>
      <w:r w:rsidR="00A85882">
        <w:rPr>
          <w:rFonts w:ascii="Times New Roman" w:eastAsia="楷体_GB2312" w:hAnsi="Times New Roman" w:cs="Times New Roman"/>
          <w:sz w:val="32"/>
          <w:szCs w:val="32"/>
        </w:rPr>
        <w:t>（四）</w:t>
      </w:r>
      <w:r w:rsidR="00A85882">
        <w:rPr>
          <w:rFonts w:ascii="Times New Roman" w:eastAsia="楷体_GB2312" w:hAnsi="Times New Roman" w:cs="Times New Roman" w:hint="eastAsia"/>
          <w:sz w:val="32"/>
          <w:szCs w:val="32"/>
        </w:rPr>
        <w:t>持续</w:t>
      </w:r>
      <w:r w:rsidR="00A85882">
        <w:rPr>
          <w:rFonts w:ascii="Times New Roman" w:eastAsia="楷体_GB2312" w:hAnsi="Times New Roman" w:cs="Times New Roman"/>
          <w:sz w:val="32"/>
          <w:szCs w:val="32"/>
        </w:rPr>
        <w:t>严肃财经纪律</w:t>
      </w:r>
      <w:r w:rsidR="00A85882">
        <w:rPr>
          <w:rFonts w:ascii="Times New Roman" w:eastAsia="方正楷体简体" w:hAnsi="Times New Roman" w:cs="Times New Roman"/>
          <w:sz w:val="32"/>
          <w:szCs w:val="32"/>
        </w:rPr>
        <w:t>。</w:t>
      </w:r>
      <w:r w:rsidR="00A85882">
        <w:rPr>
          <w:rFonts w:ascii="Times New Roman" w:eastAsia="方正仿宋简体" w:hAnsi="Times New Roman" w:cs="Times New Roman"/>
          <w:sz w:val="32"/>
          <w:szCs w:val="32"/>
        </w:rPr>
        <w:t>牢固树立预算法治意识，坚持依法行政、依法理财，管好用好各项财政资金，坚决防止截留挪用、骗取套取、贪污侵占等违法违规行为。严格执行预算管理制度，严禁无预算超预算列支，严禁擅自提高津贴补贴标准，严格加强暂付性款项管理。</w:t>
      </w:r>
    </w:p>
    <w:sectPr w:rsidR="00D27EFF" w:rsidSect="00D27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882" w:rsidRDefault="00A85882" w:rsidP="006F0259">
      <w:r>
        <w:separator/>
      </w:r>
    </w:p>
  </w:endnote>
  <w:endnote w:type="continuationSeparator" w:id="1">
    <w:p w:rsidR="00A85882" w:rsidRDefault="00A85882" w:rsidP="006F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882" w:rsidRDefault="00A85882" w:rsidP="006F0259">
      <w:r>
        <w:separator/>
      </w:r>
    </w:p>
  </w:footnote>
  <w:footnote w:type="continuationSeparator" w:id="1">
    <w:p w:rsidR="00A85882" w:rsidRDefault="00A85882" w:rsidP="006F02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BlNGE1OWI4ODJmZDUyZGZmNTQ0MDY4YmQ2YTEyY2YifQ=="/>
  </w:docVars>
  <w:rsids>
    <w:rsidRoot w:val="00834092"/>
    <w:rsid w:val="00046EB3"/>
    <w:rsid w:val="00135A92"/>
    <w:rsid w:val="001528BC"/>
    <w:rsid w:val="001B0885"/>
    <w:rsid w:val="001B6B9F"/>
    <w:rsid w:val="001F2EE8"/>
    <w:rsid w:val="002838FF"/>
    <w:rsid w:val="0029632B"/>
    <w:rsid w:val="002A570D"/>
    <w:rsid w:val="002B1DB4"/>
    <w:rsid w:val="0032219B"/>
    <w:rsid w:val="003709CA"/>
    <w:rsid w:val="003C151E"/>
    <w:rsid w:val="003C6796"/>
    <w:rsid w:val="0044269E"/>
    <w:rsid w:val="004806E8"/>
    <w:rsid w:val="004D655B"/>
    <w:rsid w:val="00505149"/>
    <w:rsid w:val="00532FF1"/>
    <w:rsid w:val="005609A1"/>
    <w:rsid w:val="005D09F7"/>
    <w:rsid w:val="00607507"/>
    <w:rsid w:val="0062347E"/>
    <w:rsid w:val="00687BC0"/>
    <w:rsid w:val="006A181F"/>
    <w:rsid w:val="006C0507"/>
    <w:rsid w:val="006C7E60"/>
    <w:rsid w:val="006F0259"/>
    <w:rsid w:val="006F586D"/>
    <w:rsid w:val="0070466A"/>
    <w:rsid w:val="00707B66"/>
    <w:rsid w:val="007267D4"/>
    <w:rsid w:val="00754259"/>
    <w:rsid w:val="007A2224"/>
    <w:rsid w:val="007A3EAC"/>
    <w:rsid w:val="0080698B"/>
    <w:rsid w:val="0081243C"/>
    <w:rsid w:val="00834092"/>
    <w:rsid w:val="008422C3"/>
    <w:rsid w:val="00855047"/>
    <w:rsid w:val="0087340B"/>
    <w:rsid w:val="008A3CD9"/>
    <w:rsid w:val="008B3F81"/>
    <w:rsid w:val="008D2B45"/>
    <w:rsid w:val="00955477"/>
    <w:rsid w:val="009B60D1"/>
    <w:rsid w:val="009F4F88"/>
    <w:rsid w:val="00A003C7"/>
    <w:rsid w:val="00A85882"/>
    <w:rsid w:val="00AD5EBA"/>
    <w:rsid w:val="00B42025"/>
    <w:rsid w:val="00B84D68"/>
    <w:rsid w:val="00BC21AC"/>
    <w:rsid w:val="00C90F33"/>
    <w:rsid w:val="00D27EFF"/>
    <w:rsid w:val="00D30931"/>
    <w:rsid w:val="00D70015"/>
    <w:rsid w:val="00E73EF0"/>
    <w:rsid w:val="00E749B4"/>
    <w:rsid w:val="00E86C93"/>
    <w:rsid w:val="00EC48B5"/>
    <w:rsid w:val="00F518E1"/>
    <w:rsid w:val="00F757C3"/>
    <w:rsid w:val="00FA25CD"/>
    <w:rsid w:val="00FA3E7C"/>
    <w:rsid w:val="5FE865DE"/>
    <w:rsid w:val="68AC3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27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27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27E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27E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762</Words>
  <Characters>4346</Characters>
  <Application>Microsoft Office Word</Application>
  <DocSecurity>0</DocSecurity>
  <Lines>36</Lines>
  <Paragraphs>10</Paragraphs>
  <ScaleCrop>false</ScaleCrop>
  <Company>Micorosoft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33</cp:revision>
  <cp:lastPrinted>2022-12-27T09:22:00Z</cp:lastPrinted>
  <dcterms:created xsi:type="dcterms:W3CDTF">2022-12-22T12:41:00Z</dcterms:created>
  <dcterms:modified xsi:type="dcterms:W3CDTF">2022-12-28T02:52:00Z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A5B9DCB721FA49F5B95A228DEE9B18E1</vt:lpwstr>
  </property>
</Properties>
</file>