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2023年综治信访工作计划</w:t>
      </w:r>
    </w:p>
    <w:p>
      <w:pPr>
        <w:jc w:val="center"/>
        <w:rPr>
          <w:rFonts w:hint="eastAsia" w:ascii="宋体" w:hAnsi="宋体" w:eastAsia="宋体" w:cs="宋体"/>
          <w:b w:val="0"/>
          <w:bCs w:val="0"/>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一、教育转化工作</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（一）争资立项、加强阵地建设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新城街道已向开发区司法信访局申请建设新城街道“关爱之家”，预计费用十万元，初步地点定在德润园社区用房，功能室设为5个区域，反邪教宣传走廊、反邪教警示教育宣传室、心理咨询室、活动室、关爱之家志愿服务站。</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（二）做好教育转化工作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针对现有教育转化人员，做到定期走访，掌握思想、生活状况，帮助其顺利重新回归社会</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建立健全基层反邪教组织网络，</w:t>
      </w:r>
      <w:r>
        <w:rPr>
          <w:rFonts w:hint="eastAsia" w:ascii="仿宋" w:hAnsi="仿宋" w:eastAsia="仿宋" w:cs="仿宋"/>
          <w:sz w:val="32"/>
          <w:szCs w:val="32"/>
          <w:lang w:val="en-US" w:eastAsia="zh-CN"/>
        </w:rPr>
        <w:t>吸纳心理咨询师、法律顾问等专业人才为反邪教志愿者，并充分发挥其作用，积极组织反邪教志愿者参加相关培训，做好相关专业知识的学习，依托“关爱之家”以关爱为主线，以开展宣传教育为重点，以重大节假日为契机，坚持打击与转化并重，大力推进防邪、反邪、脱邪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b w:val="0"/>
          <w:bCs w:val="0"/>
          <w:sz w:val="32"/>
          <w:szCs w:val="32"/>
          <w:lang w:val="en-US" w:eastAsia="zh-CN"/>
        </w:rPr>
        <w:t>（三）“无邪未来”系列宣传活动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联合新城公安派出所针对辖区内的学校开展反邪教警示教育进校园系列活动，通过制作儿童感兴趣的动画短片开展宣教，以孩子带动家长，加强辖区青少年思想建设。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二、网格化工作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新城街道网格员工作管理办法》，各社区严格督促网格员履职尽责，同时动员辖区直管党员、热心群众、物业员工成为网情员，每名网格员按照所划分的楼栋发展至少1名网情员，培养群众主人翁意识，形成社区书记—网格员—网情员的基层网格治理体系（按照1名网格员下设最少3名网情员的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三、市域社会治理工作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城街道作为市域社会治理典型地区，坚持以习近平新时代中国特色社会主义思想为指导，全面推进“五大体系”建设，着力推进平安社区（辽河）、心理服务（龙兴）、复苗工程、全民反诈反诈（水域）、红色物业（金都）治理品牌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四、信访维稳工作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（一）重点信访人员</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目前，我街道重点信访人员还有13人，人数较多，在重要时间节点维稳压力较大，2023年度，信访维稳股会针对以上人员逐人走访，做好情感上的沟通，生活上的帮扶，法律知识的宣传，争取签订息诉罢访，减少我街道重要时间节点的稳控压力，预计2023年度申请信访维稳经费17万元，具体如下：法律顾问20000元；信访专项维稳资金150000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（二）初信初访工作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始终坚持三到位一处理原则（即诉求合理的解决到位、诉求无理的思想教育到位、生活困难的帮扶救助到位；行为违法的依法处理。）抓好初信初访工作，实现“来信不变来访，初访不变重访，个访不变集访，集访不变群体性事件”的工作目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（三）矛盾调解工作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结合12345市民热线沟通整合资源，集中力量及时就地解决问题，依托网格员、网情员加强矛盾纠纷源头预防工作，联合派出所、司法所实现“两所共建”协作调解工作机制，建立大调解工作体系，进一步完善监测预警机制，及早发现和化解矛盾纠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（四）丰富普法宣传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每月至少1次在辖区广场以及辖区重点场所开展专题法治宣传活动，重点宣传《民法典》、《中华人民共和国反有组织犯罪法》、《中华人民共和国道路交通安全法》、《社会治安管理处罚法》、《信访工作条例》等与群众生活息息相关的法律法规，依托传统节日，联合包联单位检察院、法院、律所采用群众喜闻乐见的方式向群众普及法律知识，邀请法律顾问开展“送法进小区”行动，向群众面对面解答生活中遇到的相关问题，切实提高辖区群众的法治思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000000"/>
    <w:rsid w:val="0AF12637"/>
    <w:rsid w:val="20EE4848"/>
    <w:rsid w:val="2E801389"/>
    <w:rsid w:val="30185131"/>
    <w:rsid w:val="376C7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1280</Words>
  <Characters>1304</Characters>
  <Lines>0</Lines>
  <Paragraphs>0</Paragraphs>
  <TotalTime>15</TotalTime>
  <ScaleCrop>false</ScaleCrop>
  <LinksUpToDate>false</LinksUpToDate>
  <CharactersWithSpaces>1304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2023-01-28T01:54:00Z</dcterms:created>
  <dc:creator>Administrator</dc:creator>
  <cp:lastModifiedBy>WPS_1465049157</cp:lastModifiedBy>
  <dcterms:modified xsi:type="dcterms:W3CDTF">2023-02-23T02:36:08Z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E5DDA2D4B28947C1A35555899138A75B</vt:lpwstr>
  </property>
</Properties>
</file>