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新城司法所联合信韬律师事务所</w:t>
      </w:r>
    </w:p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开展“开学第一课”普法宣传活动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为进一步提升青少年法律意识和自我保护意识，有效预防青少年犯罪，促进青少年健康成长。2023年2月17日，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通辽经济技术开发区新城司法所联合</w:t>
      </w:r>
      <w:r>
        <w:rPr>
          <w:rFonts w:hint="eastAsia" w:ascii="仿宋" w:hAnsi="仿宋" w:eastAsia="仿宋" w:cs="仿宋"/>
          <w:sz w:val="32"/>
          <w:szCs w:val="32"/>
        </w:rPr>
        <w:t>信韬律师事务所走进希望新城社区为40余名中小学生及家长带来了一场别开生面、生动幽默的青少年公益普法讲座。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讲座开始，信韬律师事务所翟殊语律师先从日常生活、学习和社会交往等方面入手，为同学们讲解了法的基本概念和作用，让同学们懂得法律无处不在和为什么需要法律，同时结合《民法典》、《未成年人保护法》、《预防未成年人犯罪法》、《道路交通安全法》等法律法规，向同学们讲解了青少年权利的保护、青少年不良行为的种类以及如何自觉抵制不良行为和违法行为，引导同学们学习法律、遵守法律、运用法律。讲座采取互动问答方式开展，同学们积极举手提问，翟律师一一耐心回答，现场互动频繁、气氛活跃，同学们都对学法懂法尊法用法表现出极大兴趣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讲座，通过寓教于乐的宣传方式，使同学们在轻松愉快的气氛中学到法律知识，不仅强化了青少年法律意识和守法观念，也让青少年增强了明辨是非和自我防范的能力，为青少年健康成长营造了良好的法治氛围。</w:t>
      </w:r>
    </w:p>
    <w:p>
      <w:pPr>
        <w:ind w:firstLine="64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信息员：新城司法所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武文超</w:t>
      </w:r>
    </w:p>
    <w:p>
      <w:pPr>
        <w:ind w:firstLine="64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959985" cy="3541395"/>
            <wp:effectExtent l="0" t="0" r="12065" b="1905"/>
            <wp:docPr id="2" name="图片 2" descr="微信图片_20230220103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2201034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9985" cy="354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884420" cy="3543300"/>
            <wp:effectExtent l="0" t="0" r="11430" b="0"/>
            <wp:docPr id="1" name="图片 1" descr="微信图片_20230220103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2201034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YzdlY2YyMjM1OTE0MGUyZjM4MjM5ZGE1ZjdiNGIifQ=="/>
  </w:docVars>
  <w:rsids>
    <w:rsidRoot w:val="00000000"/>
    <w:rsid w:val="12FC3600"/>
    <w:rsid w:val="3FC5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</Words>
  <Characters>508</Characters>
  <Lines>0</Lines>
  <Paragraphs>0</Paragraphs>
  <TotalTime>0</TotalTime>
  <ScaleCrop>false</ScaleCrop>
  <LinksUpToDate>false</LinksUpToDate>
  <CharactersWithSpaces>514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2023-02-20T02:26:45Z</dcterms:created>
  <dc:creator>Administrator</dc:creator>
  <cp:lastModifiedBy>Administrator</cp:lastModifiedBy>
  <dcterms:modified xsi:type="dcterms:W3CDTF">2023-02-20T02:35:10Z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BD29F1CE0B6A4CA59399682AE53DE633</vt:lpwstr>
  </property>
</Properties>
</file>