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hint="eastAsia" w:ascii="宋体" w:hAnsi="宋体" w:eastAsia="宋体" w:cs="宋体"/>
          <w:i w:val="0"/>
          <w:color w:val="000000"/>
          <w:sz w:val="24"/>
          <w:szCs w:val="24"/>
          <w:u w:val="none"/>
          <w:lang w:val="en-US" w:eastAsia="zh-CN"/>
        </w:rPr>
      </w:pPr>
    </w:p>
    <w:p>
      <w:pPr>
        <w:spacing w:line="560" w:lineRule="exact"/>
        <w:jc w:val="center"/>
        <w:rPr>
          <w:rFonts w:hint="eastAsia" w:ascii="宋体" w:hAnsi="宋体"/>
          <w:b/>
          <w:sz w:val="44"/>
          <w:szCs w:val="44"/>
          <w:lang w:val="en-US" w:eastAsia="zh-CN"/>
        </w:rPr>
      </w:pPr>
      <w:r>
        <w:rPr>
          <w:rFonts w:hint="eastAsia" w:ascii="宋体" w:hAnsi="宋体"/>
          <w:b/>
          <w:sz w:val="44"/>
          <w:szCs w:val="44"/>
          <w:lang w:val="en-US" w:eastAsia="zh-CN"/>
        </w:rPr>
        <w:t>通辽经济技术开发区新城街道办事处</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w:t>
      </w:r>
      <w:r>
        <w:rPr>
          <w:rFonts w:hint="eastAsia" w:ascii="宋体" w:hAnsi="宋体"/>
          <w:b/>
          <w:sz w:val="44"/>
          <w:szCs w:val="44"/>
          <w:lang w:val="en-US" w:eastAsia="zh-CN"/>
        </w:rPr>
        <w:t>部门</w:t>
      </w:r>
      <w:r>
        <w:rPr>
          <w:rFonts w:hint="eastAsia" w:ascii="宋体" w:hAnsi="宋体"/>
          <w:b/>
          <w:sz w:val="44"/>
          <w:szCs w:val="44"/>
        </w:rPr>
        <w:t>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 xml:space="preserve">年 </w:t>
      </w:r>
      <w:r>
        <w:rPr>
          <w:rFonts w:hint="eastAsia" w:ascii="楷体_GB2312" w:eastAsia="楷体_GB2312"/>
          <w:sz w:val="32"/>
          <w:szCs w:val="32"/>
          <w:lang w:val="en-US" w:eastAsia="zh-CN"/>
        </w:rPr>
        <w:t>2</w:t>
      </w:r>
      <w:r>
        <w:rPr>
          <w:rFonts w:hint="eastAsia" w:ascii="楷体_GB2312" w:eastAsia="楷体_GB2312"/>
          <w:sz w:val="32"/>
          <w:szCs w:val="32"/>
        </w:rPr>
        <w:t xml:space="preserve"> 月 </w:t>
      </w:r>
      <w:r>
        <w:rPr>
          <w:rFonts w:hint="eastAsia" w:ascii="楷体_GB2312" w:eastAsia="楷体_GB2312"/>
          <w:sz w:val="32"/>
          <w:szCs w:val="32"/>
          <w:lang w:val="en-US" w:eastAsia="zh-CN"/>
        </w:rPr>
        <w:t>2</w:t>
      </w:r>
      <w:r>
        <w:rPr>
          <w:rFonts w:hint="eastAsia" w:ascii="楷体_GB2312" w:eastAsia="楷体_GB2312"/>
          <w:sz w:val="32"/>
          <w:szCs w:val="32"/>
        </w:rPr>
        <w:t xml:space="preserve"> 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lang w:val="en-US" w:eastAsia="zh-CN"/>
        </w:rPr>
        <w:t>部门</w:t>
      </w:r>
      <w:r>
        <w:rPr>
          <w:rFonts w:hint="eastAsia" w:ascii="楷体_GB2312" w:hAnsi="黑体" w:eastAsia="楷体_GB2312"/>
          <w:color w:val="000000"/>
          <w:sz w:val="32"/>
          <w:szCs w:val="32"/>
        </w:rPr>
        <w:t>收支</w:t>
      </w:r>
      <w:r>
        <w:rPr>
          <w:rFonts w:hint="eastAsia" w:ascii="楷体_GB2312" w:hAnsi="黑体" w:eastAsia="楷体_GB2312"/>
          <w:color w:val="000000"/>
          <w:sz w:val="32"/>
          <w:szCs w:val="32"/>
          <w:lang w:val="en-US" w:eastAsia="zh-CN"/>
        </w:rPr>
        <w:t>总</w:t>
      </w:r>
      <w:r>
        <w:rPr>
          <w:rFonts w:hint="eastAsia" w:ascii="楷体_GB2312" w:hAnsi="黑体" w:eastAsia="楷体_GB2312"/>
          <w:color w:val="000000"/>
          <w:sz w:val="32"/>
          <w:szCs w:val="32"/>
        </w:rPr>
        <w:t>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lang w:val="en-US" w:eastAsia="zh-CN"/>
        </w:rPr>
        <w:t>部门</w:t>
      </w:r>
      <w:r>
        <w:rPr>
          <w:rFonts w:hint="eastAsia" w:ascii="楷体_GB2312" w:hAnsi="黑体" w:eastAsia="楷体_GB2312"/>
          <w:color w:val="000000"/>
          <w:sz w:val="32"/>
          <w:szCs w:val="32"/>
        </w:rPr>
        <w:t>收入总表。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lang w:val="en-US" w:eastAsia="zh-CN"/>
        </w:rPr>
        <w:t>部门</w:t>
      </w:r>
      <w:r>
        <w:rPr>
          <w:rFonts w:hint="eastAsia" w:ascii="楷体_GB2312" w:hAnsi="黑体" w:eastAsia="楷体_GB2312"/>
          <w:color w:val="000000"/>
          <w:sz w:val="32"/>
          <w:szCs w:val="32"/>
        </w:rPr>
        <w:t>支出总表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lang w:val="en-US" w:eastAsia="zh-CN"/>
        </w:rPr>
        <w:t>国有资本经营预算支出表。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10.项目支出表。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eastAsia="zh-CN"/>
        </w:rPr>
        <w:t>11.</w:t>
      </w:r>
      <w:r>
        <w:rPr>
          <w:rFonts w:hint="eastAsia" w:ascii="楷体_GB2312" w:hAnsi="黑体" w:eastAsia="楷体_GB2312"/>
          <w:color w:val="000000"/>
          <w:sz w:val="32"/>
          <w:szCs w:val="32"/>
        </w:rPr>
        <w:t>项目绩效目标表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lang w:val="en-US" w:eastAsia="zh-CN"/>
        </w:rPr>
        <w:t>2</w:t>
      </w:r>
      <w:r>
        <w:rPr>
          <w:rFonts w:hint="eastAsia" w:ascii="楷体_GB2312" w:hAnsi="黑体" w:eastAsia="楷体_GB2312"/>
          <w:color w:val="000000"/>
          <w:sz w:val="32"/>
          <w:szCs w:val="32"/>
          <w:lang w:val="en-US"/>
        </w:rPr>
        <w:t>.</w:t>
      </w:r>
      <w:r>
        <w:rPr>
          <w:rFonts w:hint="eastAsia" w:ascii="楷体_GB2312" w:hAnsi="黑体" w:eastAsia="楷体_GB2312"/>
          <w:color w:val="000000"/>
          <w:sz w:val="32"/>
          <w:szCs w:val="32"/>
        </w:rPr>
        <w:t>政府采购预算表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ascii="楷体_GB2312" w:eastAsia="楷体_GB2312"/>
          <w:sz w:val="32"/>
          <w:szCs w:val="32"/>
        </w:rPr>
      </w:pPr>
      <w:r>
        <w:rPr>
          <w:rFonts w:hint="eastAsia" w:ascii="楷体_GB2312" w:eastAsia="楷体_GB2312"/>
          <w:sz w:val="32"/>
          <w:szCs w:val="32"/>
        </w:rPr>
        <w:t>（一）部门职能</w:t>
      </w:r>
      <w:r>
        <w:rPr>
          <w:rFonts w:hint="eastAsia" w:ascii="楷体_GB2312" w:eastAsia="楷体_GB2312"/>
          <w:sz w:val="32"/>
          <w:szCs w:val="32"/>
        </w:rPr>
        <w:br/>
      </w:r>
      <w:r>
        <w:rPr>
          <w:rFonts w:hint="eastAsia" w:ascii="楷体_GB2312" w:eastAsia="楷体_GB2312"/>
          <w:sz w:val="32"/>
          <w:szCs w:val="32"/>
        </w:rPr>
        <w:t>　　</w:t>
      </w:r>
      <w:r>
        <w:rPr>
          <w:rFonts w:hint="eastAsia" w:eastAsia="仿宋_GB2312"/>
          <w:sz w:val="32"/>
          <w:szCs w:val="32"/>
        </w:rPr>
        <w:t>通辽经济技术开发区新城街道办事处是通辽经济技术开发区管委会主管负责宣传党的路线、方针、政策和国家法律法规，负责街道社会治安综合治理工作的综合部门。</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640"/>
        <w:rPr>
          <w:rFonts w:ascii="黑体" w:hAnsi="黑体" w:eastAsia="黑体"/>
          <w:sz w:val="32"/>
          <w:szCs w:val="32"/>
        </w:rPr>
      </w:pPr>
      <w:r>
        <w:rPr>
          <w:rFonts w:hint="eastAsia" w:ascii="仿宋_GB2312" w:eastAsia="仿宋_GB2312"/>
          <w:sz w:val="32"/>
          <w:szCs w:val="32"/>
        </w:rPr>
        <w:t>1、</w:t>
      </w:r>
      <w:r>
        <w:rPr>
          <w:rFonts w:eastAsia="仿宋_GB2312"/>
          <w:sz w:val="32"/>
          <w:szCs w:val="32"/>
        </w:rPr>
        <w:t>贯彻落实</w:t>
      </w:r>
      <w:r>
        <w:rPr>
          <w:rFonts w:hint="eastAsia" w:eastAsia="仿宋_GB2312"/>
          <w:sz w:val="32"/>
          <w:szCs w:val="32"/>
        </w:rPr>
        <w:t>党和国家的各项方针、政策、法令、法规，在开发区党工委管委会领导下完成各项任务。</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hAnsi="仿宋" w:eastAsia="仿宋_GB2312"/>
          <w:sz w:val="32"/>
          <w:szCs w:val="32"/>
        </w:rPr>
        <w:t>建设社会主义物质文明和精神文明，以经济建设为中心，发展街道工业，以及与居民密切相关的第三产业，知道街道经济组织发挥经济，拓展经济活动的领域，为经济组织提供服务，运用经济、法律和必要的行政手段管理街道经济。把街道建设成为经济繁荣、文化发达、道德高尚、社会安定、生活方便、环境优美的社会主义新城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负责辖区内的社会治安综合治理，人民调解、法律服务工作，依照有关规定管理外来流动人员。</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开展社区服务、拥军优属工作，负责设区优抚、社会救济、社会福利工作，兴办社会福利及残疾人鼓励事业，社区文化、科普、体育、教育工作。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按照职责范围做好城市建设管理监察、计划生育、爱护卫生、初级卫生保健、市容环境卫生、绿化、环境保护、劳动就业、安全生产等管理工作。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配合有关部门做好防汛、防风、防火、防震、抢险和防灾救灾工作。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维护老年人、妇女、青少年、儿童和残疾人的合法权益，尊重少数民族的风俗习惯和保障少数民族的权益。</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指导和帮助居民委员会的工作，促进居民委员会的依法建设和发挥，三自（自我教育、自我管理、自我服务）作用。</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向开发区党工委管委会反映居民群众的意见和要求，办理人民群众的来信，来访等事项。</w:t>
      </w:r>
    </w:p>
    <w:p>
      <w:pPr>
        <w:snapToGrid w:val="0"/>
        <w:spacing w:line="560" w:lineRule="exact"/>
        <w:ind w:firstLine="640"/>
        <w:rPr>
          <w:rFonts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承办开发区党工委管委会交办的其他事项。</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00" w:lineRule="exact"/>
        <w:ind w:firstLine="640"/>
        <w:rPr>
          <w:rFonts w:eastAsia="仿宋_GB2312"/>
          <w:sz w:val="32"/>
          <w:szCs w:val="32"/>
        </w:rPr>
      </w:pPr>
      <w:r>
        <w:rPr>
          <w:rFonts w:hint="eastAsia" w:eastAsia="仿宋_GB2312"/>
          <w:sz w:val="32"/>
          <w:szCs w:val="32"/>
        </w:rPr>
        <w:t>从预算单位构成看，</w:t>
      </w:r>
      <w:r>
        <w:rPr>
          <w:rFonts w:hint="eastAsia" w:eastAsia="仿宋_GB2312"/>
          <w:sz w:val="32"/>
          <w:szCs w:val="32"/>
          <w:lang w:val="en-US" w:eastAsia="zh-CN"/>
        </w:rPr>
        <w:t>新城街道办事处</w:t>
      </w:r>
      <w:r>
        <w:rPr>
          <w:rFonts w:hint="eastAsia" w:eastAsia="仿宋_GB2312"/>
          <w:sz w:val="32"/>
          <w:szCs w:val="32"/>
        </w:rPr>
        <w:t>部门所属单位预算包括：</w:t>
      </w:r>
      <w:r>
        <w:rPr>
          <w:rFonts w:hint="eastAsia" w:eastAsia="仿宋_GB2312"/>
          <w:sz w:val="32"/>
          <w:szCs w:val="32"/>
          <w:lang w:val="en-US" w:eastAsia="zh-CN"/>
        </w:rPr>
        <w:t>街道本级预算以及</w:t>
      </w:r>
      <w:r>
        <w:rPr>
          <w:rFonts w:hint="eastAsia" w:ascii="仿宋_GB2312" w:eastAsia="仿宋_GB2312"/>
          <w:sz w:val="32"/>
          <w:szCs w:val="32"/>
        </w:rPr>
        <w:t>下设</w:t>
      </w:r>
      <w:r>
        <w:rPr>
          <w:rFonts w:hint="eastAsia" w:ascii="仿宋_GB2312" w:eastAsia="仿宋_GB2312"/>
          <w:sz w:val="32"/>
          <w:szCs w:val="32"/>
          <w:lang w:val="en-US" w:eastAsia="zh-CN"/>
        </w:rPr>
        <w:t>党群服务中心预算</w:t>
      </w:r>
      <w:r>
        <w:rPr>
          <w:rFonts w:hint="eastAsia" w:eastAsia="仿宋_GB2312"/>
          <w:sz w:val="32"/>
          <w:szCs w:val="32"/>
          <w:lang w:val="en-US" w:eastAsia="zh-CN"/>
        </w:rPr>
        <w:t>。</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通辽经济技术开发区新城街道办事处</w:t>
      </w:r>
      <w:r>
        <w:rPr>
          <w:rFonts w:hint="eastAsia" w:ascii="楷体_GB2312" w:eastAsia="楷体_GB2312"/>
          <w:sz w:val="32"/>
          <w:szCs w:val="32"/>
        </w:rPr>
        <w:t>所属单位机构及人员基本情况</w:t>
      </w:r>
    </w:p>
    <w:p>
      <w:pPr>
        <w:snapToGrid w:val="0"/>
        <w:spacing w:line="560" w:lineRule="exact"/>
        <w:ind w:firstLine="640"/>
        <w:rPr>
          <w:rFonts w:ascii="仿宋_GB2312" w:eastAsia="仿宋_GB2312"/>
          <w:sz w:val="32"/>
          <w:szCs w:val="32"/>
        </w:rPr>
      </w:pPr>
      <w:r>
        <w:rPr>
          <w:rFonts w:hint="eastAsia" w:ascii="仿宋_GB2312" w:eastAsia="仿宋_GB2312"/>
          <w:sz w:val="32"/>
          <w:szCs w:val="32"/>
          <w:lang w:val="en-US" w:eastAsia="zh-CN"/>
        </w:rPr>
        <w:t>街道</w:t>
      </w:r>
      <w:r>
        <w:rPr>
          <w:rFonts w:hint="eastAsia" w:ascii="仿宋_GB2312" w:eastAsia="仿宋_GB2312"/>
          <w:sz w:val="32"/>
          <w:szCs w:val="32"/>
        </w:rPr>
        <w:t>本级及下设独立预算单位共有</w:t>
      </w:r>
      <w:r>
        <w:rPr>
          <w:rFonts w:hint="eastAsia" w:ascii="仿宋_GB2312" w:eastAsia="仿宋_GB2312"/>
          <w:sz w:val="32"/>
          <w:szCs w:val="32"/>
          <w:lang w:val="en-US" w:eastAsia="zh-CN"/>
        </w:rPr>
        <w:t>2</w:t>
      </w:r>
      <w:r>
        <w:rPr>
          <w:rFonts w:hint="eastAsia" w:ascii="仿宋_GB2312" w:eastAsia="仿宋_GB2312"/>
          <w:sz w:val="32"/>
          <w:szCs w:val="32"/>
        </w:rPr>
        <w:t>家，其中：财政拨款的行政单位</w:t>
      </w:r>
      <w:r>
        <w:rPr>
          <w:rFonts w:hint="eastAsia" w:ascii="仿宋_GB2312" w:eastAsia="仿宋_GB2312"/>
          <w:sz w:val="32"/>
          <w:szCs w:val="32"/>
          <w:lang w:val="en-US" w:eastAsia="zh-CN"/>
        </w:rPr>
        <w:t>1</w:t>
      </w:r>
      <w:r>
        <w:rPr>
          <w:rFonts w:hint="eastAsia" w:ascii="仿宋_GB2312" w:eastAsia="仿宋_GB2312"/>
          <w:sz w:val="32"/>
          <w:szCs w:val="32"/>
        </w:rPr>
        <w:t>家</w:t>
      </w:r>
      <w:r>
        <w:rPr>
          <w:rFonts w:hint="eastAsia" w:ascii="仿宋_GB2312" w:eastAsia="仿宋_GB2312"/>
          <w:sz w:val="32"/>
          <w:szCs w:val="32"/>
          <w:lang w:eastAsia="zh-CN"/>
        </w:rPr>
        <w:t>，</w:t>
      </w:r>
      <w:r>
        <w:rPr>
          <w:rFonts w:hint="eastAsia" w:ascii="仿宋_GB2312" w:eastAsia="仿宋_GB2312"/>
          <w:sz w:val="32"/>
          <w:szCs w:val="32"/>
        </w:rPr>
        <w:t>参照公务员法管理的事业单位为</w:t>
      </w:r>
      <w:r>
        <w:rPr>
          <w:rFonts w:hint="eastAsia" w:ascii="仿宋_GB2312" w:eastAsia="仿宋_GB2312"/>
          <w:sz w:val="32"/>
          <w:szCs w:val="32"/>
          <w:lang w:val="en-US" w:eastAsia="zh-CN"/>
        </w:rPr>
        <w:t>0</w:t>
      </w:r>
      <w:r>
        <w:rPr>
          <w:rFonts w:hint="eastAsia" w:ascii="仿宋_GB2312" w:eastAsia="仿宋_GB2312"/>
          <w:sz w:val="32"/>
          <w:szCs w:val="32"/>
        </w:rPr>
        <w:t>家，公益一类事业单位为</w:t>
      </w:r>
      <w:r>
        <w:rPr>
          <w:rFonts w:hint="eastAsia" w:ascii="仿宋_GB2312" w:eastAsia="仿宋_GB2312"/>
          <w:sz w:val="32"/>
          <w:szCs w:val="32"/>
          <w:lang w:val="en-US" w:eastAsia="zh-CN"/>
        </w:rPr>
        <w:t>0</w:t>
      </w:r>
      <w:r>
        <w:rPr>
          <w:rFonts w:hint="eastAsia" w:ascii="仿宋_GB2312" w:eastAsia="仿宋_GB2312"/>
          <w:sz w:val="32"/>
          <w:szCs w:val="32"/>
        </w:rPr>
        <w:t>家，公益二类事业单位</w:t>
      </w:r>
      <w:r>
        <w:rPr>
          <w:rFonts w:hint="eastAsia" w:ascii="仿宋_GB2312" w:eastAsia="仿宋_GB2312"/>
          <w:sz w:val="32"/>
          <w:szCs w:val="32"/>
          <w:lang w:val="en-US" w:eastAsia="zh-CN"/>
        </w:rPr>
        <w:t>1</w:t>
      </w:r>
      <w:r>
        <w:rPr>
          <w:rFonts w:hint="eastAsia" w:ascii="仿宋_GB2312" w:eastAsia="仿宋_GB2312"/>
          <w:sz w:val="32"/>
          <w:szCs w:val="32"/>
        </w:rPr>
        <w:t>家。</w:t>
      </w:r>
    </w:p>
    <w:p>
      <w:pPr>
        <w:snapToGrid w:val="0"/>
        <w:spacing w:line="5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lang w:val="en-US" w:eastAsia="zh-CN"/>
        </w:rPr>
        <w:t>现有共160人 ，其中：行政编制6人，事业编制18人，</w:t>
      </w:r>
      <w:r>
        <w:rPr>
          <w:rFonts w:hint="eastAsia" w:ascii="仿宋_GB2312" w:hAnsi="仿宋" w:eastAsia="仿宋_GB2312"/>
          <w:sz w:val="32"/>
          <w:szCs w:val="32"/>
          <w:highlight w:val="none"/>
          <w:lang w:val="en-US" w:eastAsia="zh-CN"/>
        </w:rPr>
        <w:t>编外人员136人。</w:t>
      </w:r>
    </w:p>
    <w:p>
      <w:pPr>
        <w:snapToGrid w:val="0"/>
        <w:spacing w:line="560" w:lineRule="exact"/>
        <w:ind w:firstLine="640" w:firstLineChars="200"/>
        <w:rPr>
          <w:rFonts w:hint="eastAsia" w:ascii="楷体_GB2312" w:eastAsia="楷体_GB2312"/>
          <w:sz w:val="32"/>
          <w:szCs w:val="32"/>
        </w:rPr>
      </w:pP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通辽经济技术开发区新城街道办事处</w:t>
      </w:r>
      <w:r>
        <w:rPr>
          <w:rFonts w:hint="eastAsia" w:ascii="楷体_GB2312" w:eastAsia="楷体_GB2312"/>
          <w:sz w:val="32"/>
          <w:szCs w:val="32"/>
        </w:rPr>
        <w:t>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val="en-US" w:eastAsia="zh-CN"/>
        </w:rPr>
        <w:t>2023</w:t>
      </w:r>
      <w:r>
        <w:rPr>
          <w:rFonts w:hint="eastAsia" w:ascii="仿宋_GB2312" w:eastAsia="仿宋_GB2312"/>
          <w:sz w:val="32"/>
          <w:szCs w:val="32"/>
        </w:rPr>
        <w:t xml:space="preserve">年部门预算编制范围的二级预算单位情况： </w:t>
      </w:r>
    </w:p>
    <w:p>
      <w:pPr>
        <w:snapToGrid w:val="0"/>
        <w:spacing w:line="560" w:lineRule="exact"/>
        <w:ind w:firstLine="643" w:firstLineChars="200"/>
        <w:jc w:val="center"/>
        <w:rPr>
          <w:rFonts w:ascii="仿宋_GB2312" w:hAnsi="黑体" w:eastAsia="仿宋_GB2312"/>
          <w:color w:val="000000"/>
          <w:szCs w:val="21"/>
        </w:rPr>
      </w:pPr>
      <w:r>
        <w:rPr>
          <w:rFonts w:hint="eastAsia" w:eastAsia="仿宋_GB2312"/>
          <w:b/>
          <w:sz w:val="32"/>
          <w:szCs w:val="32"/>
        </w:rPr>
        <w:t>单位情况表</w:t>
      </w:r>
      <w:r>
        <w:rPr>
          <w:rFonts w:hint="eastAsia" w:ascii="黑体" w:hAnsi="黑体" w:eastAsia="黑体"/>
          <w:color w:val="000000"/>
          <w:sz w:val="32"/>
          <w:szCs w:val="32"/>
        </w:rPr>
        <w:t xml:space="preserve">                              </w:t>
      </w:r>
    </w:p>
    <w:tbl>
      <w:tblPr>
        <w:tblW w:w="8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3780"/>
        <w:gridCol w:w="3326"/>
      </w:tblGrid>
      <w:tr>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p>
        </w:tc>
        <w:tc>
          <w:tcPr>
            <w:tcW w:w="3780"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rPr>
              <w:t>通辽</w:t>
            </w:r>
            <w:r>
              <w:rPr>
                <w:rFonts w:hint="eastAsia" w:ascii="仿宋_GB2312" w:eastAsia="仿宋_GB2312"/>
                <w:bCs/>
                <w:color w:val="000000"/>
                <w:sz w:val="32"/>
                <w:szCs w:val="32"/>
                <w:lang w:val="en-US" w:eastAsia="zh-CN"/>
              </w:rPr>
              <w:t>经济技术开发区新城街道办事处</w:t>
            </w:r>
          </w:p>
        </w:tc>
        <w:tc>
          <w:tcPr>
            <w:tcW w:w="3326" w:type="dxa"/>
            <w:tcBorders>
              <w:top w:val="nil"/>
              <w:left w:val="nil"/>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p>
        </w:tc>
        <w:tc>
          <w:tcPr>
            <w:tcW w:w="3780"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000000"/>
                <w:sz w:val="32"/>
                <w:szCs w:val="32"/>
                <w:lang w:eastAsia="zh-CN"/>
              </w:rPr>
            </w:pPr>
            <w:r>
              <w:rPr>
                <w:rFonts w:hint="eastAsia" w:ascii="仿宋_GB2312" w:eastAsia="仿宋_GB2312"/>
                <w:bCs/>
                <w:color w:val="000000"/>
                <w:sz w:val="32"/>
                <w:szCs w:val="32"/>
              </w:rPr>
              <w:t>通辽</w:t>
            </w:r>
            <w:r>
              <w:rPr>
                <w:rFonts w:hint="eastAsia" w:ascii="仿宋_GB2312" w:eastAsia="仿宋_GB2312"/>
                <w:bCs/>
                <w:color w:val="000000"/>
                <w:sz w:val="32"/>
                <w:szCs w:val="32"/>
                <w:lang w:val="en-US" w:eastAsia="zh-CN"/>
              </w:rPr>
              <w:t>经济技术开发区新城街道党群服务中心</w:t>
            </w:r>
          </w:p>
        </w:tc>
        <w:tc>
          <w:tcPr>
            <w:tcW w:w="3326"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公益二类事业单位</w:t>
            </w: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p>
        </w:tc>
        <w:tc>
          <w:tcPr>
            <w:tcW w:w="3780" w:type="dxa"/>
            <w:tcBorders>
              <w:top w:val="nil"/>
              <w:left w:val="single" w:color="auto" w:sz="4" w:space="0"/>
              <w:bottom w:val="single" w:color="auto" w:sz="4" w:space="0"/>
              <w:right w:val="single" w:color="auto" w:sz="4" w:space="0"/>
            </w:tcBorders>
            <w:vAlign w:val="center"/>
          </w:tcPr>
          <w:p>
            <w:pPr>
              <w:rPr>
                <w:rFonts w:ascii="仿宋_GB2312" w:eastAsia="仿宋_GB2312"/>
                <w:color w:val="000000"/>
                <w:sz w:val="32"/>
                <w:szCs w:val="32"/>
              </w:rPr>
            </w:pPr>
          </w:p>
        </w:tc>
        <w:tc>
          <w:tcPr>
            <w:tcW w:w="3326" w:type="dxa"/>
            <w:tcBorders>
              <w:top w:val="nil"/>
              <w:left w:val="nil"/>
              <w:bottom w:val="single" w:color="auto" w:sz="4" w:space="0"/>
              <w:right w:val="single" w:color="auto" w:sz="4" w:space="0"/>
            </w:tcBorders>
            <w:vAlign w:val="center"/>
          </w:tcPr>
          <w:p>
            <w:pPr>
              <w:jc w:val="center"/>
              <w:rPr>
                <w:rFonts w:ascii="仿宋_GB2312" w:eastAsia="仿宋_GB2312"/>
                <w:color w:val="000000"/>
                <w:sz w:val="32"/>
                <w:szCs w:val="32"/>
              </w:rPr>
            </w:pP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p>
        </w:tc>
        <w:tc>
          <w:tcPr>
            <w:tcW w:w="3780" w:type="dxa"/>
            <w:tcBorders>
              <w:top w:val="nil"/>
              <w:left w:val="single" w:color="auto" w:sz="4" w:space="0"/>
              <w:bottom w:val="single" w:color="auto" w:sz="4" w:space="0"/>
              <w:right w:val="single" w:color="auto" w:sz="4" w:space="0"/>
            </w:tcBorders>
            <w:vAlign w:val="center"/>
          </w:tcPr>
          <w:p>
            <w:pPr>
              <w:rPr>
                <w:rFonts w:ascii="仿宋_GB2312" w:eastAsia="仿宋_GB2312"/>
                <w:color w:val="000000"/>
                <w:sz w:val="32"/>
                <w:szCs w:val="32"/>
              </w:rPr>
            </w:pPr>
          </w:p>
        </w:tc>
        <w:tc>
          <w:tcPr>
            <w:tcW w:w="3326" w:type="dxa"/>
            <w:tcBorders>
              <w:top w:val="nil"/>
              <w:left w:val="nil"/>
              <w:bottom w:val="single" w:color="auto" w:sz="4" w:space="0"/>
              <w:right w:val="single" w:color="auto" w:sz="4" w:space="0"/>
            </w:tcBorders>
            <w:vAlign w:val="center"/>
          </w:tcPr>
          <w:p>
            <w:pPr>
              <w:jc w:val="center"/>
              <w:rPr>
                <w:rFonts w:ascii="仿宋_GB2312" w:eastAsia="仿宋_GB2312"/>
                <w:color w:val="000000"/>
                <w:sz w:val="32"/>
                <w:szCs w:val="32"/>
              </w:rPr>
            </w:pP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p>
        </w:tc>
        <w:tc>
          <w:tcPr>
            <w:tcW w:w="3780" w:type="dxa"/>
            <w:tcBorders>
              <w:top w:val="nil"/>
              <w:left w:val="single" w:color="auto" w:sz="4" w:space="0"/>
              <w:bottom w:val="single" w:color="auto" w:sz="4" w:space="0"/>
              <w:right w:val="single" w:color="auto" w:sz="4" w:space="0"/>
            </w:tcBorders>
            <w:vAlign w:val="center"/>
          </w:tcPr>
          <w:p>
            <w:pPr>
              <w:rPr>
                <w:rFonts w:ascii="仿宋_GB2312" w:eastAsia="仿宋_GB2312"/>
                <w:color w:val="000000"/>
                <w:sz w:val="32"/>
                <w:szCs w:val="32"/>
              </w:rPr>
            </w:pPr>
          </w:p>
        </w:tc>
        <w:tc>
          <w:tcPr>
            <w:tcW w:w="3326" w:type="dxa"/>
            <w:tcBorders>
              <w:top w:val="nil"/>
              <w:left w:val="nil"/>
              <w:bottom w:val="single" w:color="auto" w:sz="4" w:space="0"/>
              <w:right w:val="single" w:color="auto" w:sz="4" w:space="0"/>
            </w:tcBorders>
            <w:vAlign w:val="center"/>
          </w:tcPr>
          <w:p>
            <w:pPr>
              <w:jc w:val="center"/>
              <w:rPr>
                <w:rFonts w:ascii="仿宋_GB2312" w:eastAsia="仿宋_GB2312"/>
                <w:color w:val="000000"/>
                <w:sz w:val="32"/>
                <w:szCs w:val="32"/>
              </w:rPr>
            </w:pP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3</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hint="eastAsia" w:ascii="仿宋_GB2312" w:eastAsia="仿宋_GB2312"/>
          <w:sz w:val="32"/>
          <w:szCs w:val="32"/>
          <w:lang w:val="en-US" w:eastAsia="zh-CN"/>
        </w:rPr>
      </w:pPr>
      <w:r>
        <w:rPr>
          <w:rFonts w:hint="eastAsia" w:ascii="仿宋_GB2312" w:eastAsia="仿宋_GB2312"/>
          <w:sz w:val="32"/>
          <w:szCs w:val="32"/>
        </w:rPr>
        <w:t>收入预算</w:t>
      </w:r>
      <w:r>
        <w:rPr>
          <w:rFonts w:hint="eastAsia" w:ascii="仿宋_GB2312" w:eastAsia="仿宋_GB2312"/>
          <w:sz w:val="32"/>
          <w:szCs w:val="32"/>
          <w:lang w:val="en-US" w:eastAsia="zh-CN"/>
        </w:rPr>
        <w:t>1555.54</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增加403.46</w:t>
      </w:r>
      <w:r>
        <w:rPr>
          <w:rFonts w:hint="eastAsia" w:ascii="仿宋_GB2312" w:eastAsia="仿宋_GB2312"/>
          <w:sz w:val="32"/>
          <w:szCs w:val="32"/>
        </w:rPr>
        <w:t>万元，</w:t>
      </w:r>
      <w:r>
        <w:rPr>
          <w:rFonts w:hint="eastAsia" w:ascii="仿宋_GB2312" w:eastAsia="仿宋_GB2312"/>
          <w:sz w:val="32"/>
          <w:szCs w:val="32"/>
          <w:lang w:val="en-US" w:eastAsia="zh-CN"/>
        </w:rPr>
        <w:t>增长35.02</w:t>
      </w:r>
      <w:r>
        <w:rPr>
          <w:rFonts w:hint="eastAsia" w:ascii="仿宋_GB2312" w:eastAsia="仿宋_GB2312"/>
          <w:sz w:val="32"/>
          <w:szCs w:val="32"/>
        </w:rPr>
        <w:t>%，</w:t>
      </w:r>
      <w:r>
        <w:rPr>
          <w:rFonts w:hint="eastAsia" w:ascii="仿宋_GB2312" w:eastAsia="仿宋_GB2312"/>
          <w:sz w:val="32"/>
          <w:szCs w:val="32"/>
          <w:lang w:val="en-US" w:eastAsia="zh-CN"/>
        </w:rPr>
        <w:t>增加</w:t>
      </w:r>
      <w:r>
        <w:rPr>
          <w:rFonts w:hint="eastAsia" w:ascii="仿宋_GB2312" w:eastAsia="仿宋_GB2312"/>
          <w:sz w:val="32"/>
          <w:szCs w:val="32"/>
        </w:rPr>
        <w:t>主要是由于</w:t>
      </w:r>
      <w:r>
        <w:rPr>
          <w:rFonts w:hint="eastAsia" w:ascii="仿宋_GB2312" w:eastAsia="仿宋_GB2312"/>
          <w:sz w:val="32"/>
          <w:szCs w:val="32"/>
          <w:lang w:val="en-US" w:eastAsia="zh-CN"/>
        </w:rPr>
        <w:t>我部门2022年新增60名社区工作人员人员工资；街道以及社区党群服务中心进行装修改造款；街道保安保洁人员工资；创城以及施划停车线项目款。</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1555.54</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年预算增加</w:t>
      </w:r>
      <w:r>
        <w:rPr>
          <w:rFonts w:hint="eastAsia" w:ascii="仿宋_GB2312" w:eastAsia="仿宋_GB2312"/>
          <w:sz w:val="32"/>
          <w:szCs w:val="32"/>
          <w:lang w:val="en-US" w:eastAsia="zh-CN"/>
        </w:rPr>
        <w:t>增加403.46</w:t>
      </w:r>
      <w:r>
        <w:rPr>
          <w:rFonts w:hint="eastAsia" w:ascii="仿宋_GB2312" w:eastAsia="仿宋_GB2312"/>
          <w:sz w:val="32"/>
          <w:szCs w:val="32"/>
        </w:rPr>
        <w:t>万元，</w:t>
      </w:r>
      <w:r>
        <w:rPr>
          <w:rFonts w:hint="eastAsia" w:ascii="仿宋_GB2312" w:eastAsia="仿宋_GB2312"/>
          <w:sz w:val="32"/>
          <w:szCs w:val="32"/>
          <w:lang w:val="en-US" w:eastAsia="zh-CN"/>
        </w:rPr>
        <w:t>增长35.02</w:t>
      </w:r>
      <w:r>
        <w:rPr>
          <w:rFonts w:hint="eastAsia" w:ascii="仿宋_GB2312" w:eastAsia="仿宋_GB2312"/>
          <w:sz w:val="32"/>
          <w:szCs w:val="32"/>
        </w:rPr>
        <w:t>%，</w:t>
      </w:r>
      <w:r>
        <w:rPr>
          <w:rFonts w:hint="eastAsia" w:ascii="仿宋_GB2312" w:eastAsia="仿宋_GB2312"/>
          <w:sz w:val="32"/>
          <w:szCs w:val="32"/>
          <w:lang w:val="en-US" w:eastAsia="zh-CN"/>
        </w:rPr>
        <w:t>增加</w:t>
      </w:r>
      <w:r>
        <w:rPr>
          <w:rFonts w:hint="eastAsia" w:ascii="仿宋_GB2312" w:eastAsia="仿宋_GB2312"/>
          <w:sz w:val="32"/>
          <w:szCs w:val="32"/>
        </w:rPr>
        <w:t>主要是由于</w:t>
      </w:r>
      <w:r>
        <w:rPr>
          <w:rFonts w:hint="eastAsia" w:ascii="仿宋_GB2312" w:eastAsia="仿宋_GB2312"/>
          <w:sz w:val="32"/>
          <w:szCs w:val="32"/>
          <w:lang w:val="en-US" w:eastAsia="zh-CN"/>
        </w:rPr>
        <w:t>我部门2022年新增60名社区工作人员人员工资；街道以及社区党群服务中心进行装修改造款；街道保安保洁人员工资；创城以及施划停车线项目款。</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1555.54</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1482.27</w:t>
      </w:r>
      <w:r>
        <w:rPr>
          <w:rFonts w:hint="eastAsia" w:ascii="仿宋_GB2312" w:eastAsia="仿宋_GB2312"/>
          <w:sz w:val="32"/>
          <w:szCs w:val="32"/>
        </w:rPr>
        <w:t>万元，占比</w:t>
      </w:r>
      <w:r>
        <w:rPr>
          <w:rFonts w:hint="eastAsia" w:ascii="仿宋_GB2312" w:eastAsia="仿宋_GB2312"/>
          <w:sz w:val="32"/>
          <w:szCs w:val="32"/>
          <w:lang w:val="en-US" w:eastAsia="zh-CN"/>
        </w:rPr>
        <w:t>95.29</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占比</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占比</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%；上年结转</w:t>
      </w:r>
      <w:r>
        <w:rPr>
          <w:rFonts w:hint="eastAsia" w:ascii="仿宋_GB2312" w:eastAsia="仿宋_GB2312"/>
          <w:sz w:val="32"/>
          <w:szCs w:val="32"/>
          <w:lang w:val="en-US" w:eastAsia="zh-CN"/>
        </w:rPr>
        <w:t>73.27</w:t>
      </w:r>
      <w:r>
        <w:rPr>
          <w:rFonts w:hint="eastAsia" w:ascii="仿宋_GB2312" w:eastAsia="仿宋_GB2312"/>
          <w:sz w:val="32"/>
          <w:szCs w:val="32"/>
        </w:rPr>
        <w:t>万元，占比</w:t>
      </w:r>
      <w:r>
        <w:rPr>
          <w:rFonts w:hint="eastAsia" w:ascii="仿宋_GB2312" w:eastAsia="仿宋_GB2312"/>
          <w:sz w:val="32"/>
          <w:szCs w:val="32"/>
          <w:lang w:val="en-US" w:eastAsia="zh-CN"/>
        </w:rPr>
        <w:t>4.71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用事业基金弥补的收支差额</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1555.54</w:t>
      </w:r>
      <w:r>
        <w:rPr>
          <w:rFonts w:hint="eastAsia" w:ascii="仿宋_GB2312" w:eastAsia="仿宋_GB2312"/>
          <w:sz w:val="32"/>
          <w:szCs w:val="32"/>
        </w:rPr>
        <w:t xml:space="preserve">万元，其中：基本支出  </w:t>
      </w:r>
      <w:r>
        <w:rPr>
          <w:rFonts w:hint="eastAsia" w:ascii="仿宋_GB2312" w:eastAsia="仿宋_GB2312"/>
          <w:sz w:val="32"/>
          <w:szCs w:val="32"/>
          <w:lang w:val="en-US" w:eastAsia="zh-CN"/>
        </w:rPr>
        <w:t>1190.16</w:t>
      </w:r>
      <w:r>
        <w:rPr>
          <w:rFonts w:hint="eastAsia" w:ascii="仿宋_GB2312" w:eastAsia="仿宋_GB2312"/>
          <w:sz w:val="32"/>
          <w:szCs w:val="32"/>
        </w:rPr>
        <w:t>万元，占比</w:t>
      </w:r>
      <w:r>
        <w:rPr>
          <w:rFonts w:hint="eastAsia" w:ascii="仿宋_GB2312" w:eastAsia="仿宋_GB2312"/>
          <w:sz w:val="32"/>
          <w:szCs w:val="32"/>
          <w:lang w:val="en-US" w:eastAsia="zh-CN"/>
        </w:rPr>
        <w:t>76.52</w:t>
      </w:r>
      <w:r>
        <w:rPr>
          <w:rFonts w:hint="eastAsia" w:ascii="仿宋_GB2312" w:eastAsia="仿宋_GB2312"/>
          <w:sz w:val="32"/>
          <w:szCs w:val="32"/>
        </w:rPr>
        <w:t>%；项目支出</w:t>
      </w:r>
      <w:r>
        <w:rPr>
          <w:rFonts w:hint="eastAsia" w:ascii="仿宋_GB2312" w:eastAsia="仿宋_GB2312"/>
          <w:sz w:val="32"/>
          <w:szCs w:val="32"/>
          <w:lang w:val="en-US" w:eastAsia="zh-CN"/>
        </w:rPr>
        <w:t>365.38</w:t>
      </w:r>
      <w:r>
        <w:rPr>
          <w:rFonts w:hint="eastAsia" w:ascii="仿宋_GB2312" w:eastAsia="仿宋_GB2312"/>
          <w:sz w:val="32"/>
          <w:szCs w:val="32"/>
        </w:rPr>
        <w:t>万元，占比</w:t>
      </w:r>
      <w:r>
        <w:rPr>
          <w:rFonts w:hint="eastAsia" w:ascii="仿宋_GB2312" w:eastAsia="仿宋_GB2312"/>
          <w:sz w:val="32"/>
          <w:szCs w:val="32"/>
          <w:lang w:val="en-US" w:eastAsia="zh-CN"/>
        </w:rPr>
        <w:t>23.48</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主要用于机构运转、工资福利、购买商品和服务等方面支出。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1555.54</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1482.27</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73.27</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（二）一般公共预算财政拨款具体使用安排情况</w:t>
      </w:r>
    </w:p>
    <w:p>
      <w:pPr>
        <w:adjustRightInd w:val="0"/>
        <w:snapToGrid w:val="0"/>
        <w:spacing w:line="500" w:lineRule="exact"/>
        <w:ind w:firstLine="643" w:firstLineChars="200"/>
        <w:rPr>
          <w:rFonts w:hint="eastAsia" w:eastAsia="仿宋_GB2312"/>
          <w:sz w:val="32"/>
          <w:szCs w:val="32"/>
          <w:lang w:eastAsia="zh-CN"/>
        </w:rPr>
      </w:pPr>
      <w:r>
        <w:rPr>
          <w:rFonts w:hint="eastAsia" w:ascii="仿宋_GB2312" w:eastAsia="仿宋_GB2312"/>
          <w:b/>
          <w:sz w:val="32"/>
          <w:szCs w:val="32"/>
        </w:rPr>
        <w:t>1.一般公共服务类</w:t>
      </w:r>
      <w:r>
        <w:rPr>
          <w:rFonts w:hint="eastAsia" w:ascii="仿宋_GB2312" w:eastAsia="仿宋_GB2312"/>
          <w:sz w:val="32"/>
          <w:szCs w:val="32"/>
        </w:rPr>
        <w:t xml:space="preserve">   </w:t>
      </w:r>
      <w:r>
        <w:rPr>
          <w:rFonts w:hint="eastAsia" w:ascii="仿宋_GB2312" w:eastAsia="仿宋_GB2312"/>
          <w:sz w:val="32"/>
          <w:szCs w:val="32"/>
          <w:lang w:val="en-US" w:eastAsia="zh-CN"/>
        </w:rPr>
        <w:t>505.47</w:t>
      </w:r>
      <w:r>
        <w:rPr>
          <w:rFonts w:hint="eastAsia" w:ascii="仿宋_GB2312" w:eastAsia="仿宋_GB2312"/>
          <w:sz w:val="32"/>
          <w:szCs w:val="32"/>
        </w:rPr>
        <w:t>万元，比上年预算数</w:t>
      </w:r>
      <w:r>
        <w:rPr>
          <w:rFonts w:hint="eastAsia" w:ascii="仿宋_GB2312" w:eastAsia="仿宋_GB2312"/>
          <w:sz w:val="32"/>
          <w:szCs w:val="32"/>
          <w:lang w:val="en-US" w:eastAsia="zh-CN"/>
        </w:rPr>
        <w:t>增加</w:t>
      </w:r>
      <w:r>
        <w:rPr>
          <w:rFonts w:hint="eastAsia" w:ascii="仿宋_GB2312" w:eastAsia="仿宋_GB2312"/>
          <w:sz w:val="32"/>
          <w:szCs w:val="32"/>
        </w:rPr>
        <w:t xml:space="preserve">  </w:t>
      </w:r>
      <w:r>
        <w:rPr>
          <w:rFonts w:hint="eastAsia" w:ascii="仿宋_GB2312" w:eastAsia="仿宋_GB2312"/>
          <w:sz w:val="32"/>
          <w:szCs w:val="32"/>
          <w:lang w:val="en-US" w:eastAsia="zh-CN"/>
        </w:rPr>
        <w:t>185.52</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在编人员</w:t>
      </w:r>
      <w:r>
        <w:rPr>
          <w:rFonts w:hint="eastAsia" w:eastAsia="仿宋_GB2312"/>
          <w:sz w:val="32"/>
          <w:szCs w:val="32"/>
        </w:rPr>
        <w:t>工资福利支出、机关</w:t>
      </w:r>
      <w:r>
        <w:rPr>
          <w:rFonts w:hint="eastAsia" w:eastAsia="仿宋_GB2312"/>
          <w:sz w:val="32"/>
          <w:szCs w:val="32"/>
          <w:lang w:val="en-US" w:eastAsia="zh-CN"/>
        </w:rPr>
        <w:t>以及社区</w:t>
      </w:r>
      <w:r>
        <w:rPr>
          <w:rFonts w:hint="eastAsia" w:eastAsia="仿宋_GB2312"/>
          <w:sz w:val="32"/>
          <w:szCs w:val="32"/>
        </w:rPr>
        <w:t>正常运行费用、信访维稳等</w:t>
      </w:r>
      <w:r>
        <w:rPr>
          <w:rFonts w:hint="eastAsia" w:eastAsia="仿宋_GB2312"/>
          <w:sz w:val="32"/>
          <w:szCs w:val="32"/>
          <w:lang w:eastAsia="zh-CN"/>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eastAsia="zh-CN"/>
        </w:rPr>
        <w:t>.</w:t>
      </w:r>
      <w:r>
        <w:rPr>
          <w:rFonts w:hint="eastAsia" w:ascii="仿宋_GB2312" w:eastAsia="仿宋_GB2312"/>
          <w:b/>
          <w:sz w:val="32"/>
          <w:szCs w:val="32"/>
        </w:rPr>
        <w:t xml:space="preserve">社会保障和就业类   </w:t>
      </w:r>
      <w:r>
        <w:rPr>
          <w:rFonts w:hint="eastAsia" w:ascii="仿宋_GB2312" w:eastAsia="仿宋_GB2312"/>
          <w:sz w:val="32"/>
          <w:szCs w:val="32"/>
          <w:lang w:val="en-US" w:eastAsia="zh-CN"/>
        </w:rPr>
        <w:t>883.9</w:t>
      </w:r>
      <w:r>
        <w:rPr>
          <w:rFonts w:hint="eastAsia" w:ascii="仿宋_GB2312" w:eastAsia="仿宋_GB2312"/>
          <w:sz w:val="32"/>
          <w:szCs w:val="32"/>
        </w:rPr>
        <w:t>万元，比上年预算数</w:t>
      </w:r>
      <w:r>
        <w:rPr>
          <w:rFonts w:hint="eastAsia" w:ascii="仿宋_GB2312" w:eastAsia="仿宋_GB2312"/>
          <w:sz w:val="32"/>
          <w:szCs w:val="32"/>
          <w:lang w:val="en-US" w:eastAsia="zh-CN"/>
        </w:rPr>
        <w:t>增加220.8</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发放</w:t>
      </w:r>
      <w:r>
        <w:rPr>
          <w:rFonts w:hint="eastAsia" w:eastAsia="仿宋_GB2312"/>
          <w:sz w:val="32"/>
          <w:szCs w:val="32"/>
        </w:rPr>
        <w:t>社区</w:t>
      </w:r>
      <w:r>
        <w:rPr>
          <w:rFonts w:hint="eastAsia" w:eastAsia="仿宋_GB2312"/>
          <w:sz w:val="32"/>
          <w:szCs w:val="32"/>
          <w:lang w:val="en-US" w:eastAsia="zh-CN"/>
        </w:rPr>
        <w:t>人员工资、公积金以及社会保险费用</w:t>
      </w:r>
      <w:r>
        <w:rPr>
          <w:rFonts w:hint="eastAsia" w:ascii="仿宋_GB2312" w:eastAsia="仿宋_GB2312"/>
          <w:sz w:val="32"/>
          <w:szCs w:val="32"/>
        </w:rPr>
        <w:t>。</w:t>
      </w:r>
    </w:p>
    <w:p>
      <w:pPr>
        <w:adjustRightInd w:val="0"/>
        <w:snapToGrid w:val="0"/>
        <w:spacing w:line="500" w:lineRule="exact"/>
        <w:ind w:firstLine="640" w:firstLineChars="200"/>
        <w:rPr>
          <w:rFonts w:hint="eastAsia"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b/>
          <w:sz w:val="32"/>
          <w:szCs w:val="32"/>
        </w:rPr>
        <w:t>卫生健康</w:t>
      </w:r>
      <w:r>
        <w:rPr>
          <w:rFonts w:hint="eastAsia" w:ascii="仿宋_GB2312" w:eastAsia="仿宋_GB2312"/>
          <w:b/>
          <w:sz w:val="32"/>
          <w:szCs w:val="32"/>
          <w:lang w:val="en-US" w:eastAsia="zh-CN"/>
        </w:rPr>
        <w:t xml:space="preserve">类   </w:t>
      </w:r>
      <w:r>
        <w:rPr>
          <w:rFonts w:hint="eastAsia" w:ascii="仿宋_GB2312" w:eastAsia="仿宋_GB2312"/>
          <w:sz w:val="32"/>
          <w:szCs w:val="32"/>
          <w:lang w:val="en-US" w:eastAsia="zh-CN"/>
        </w:rPr>
        <w:t>18.33</w:t>
      </w:r>
      <w:r>
        <w:rPr>
          <w:rFonts w:hint="eastAsia" w:ascii="仿宋_GB2312" w:eastAsia="仿宋_GB2312"/>
          <w:sz w:val="32"/>
          <w:szCs w:val="32"/>
        </w:rPr>
        <w:t>万元，比上年预算数</w:t>
      </w:r>
      <w:r>
        <w:rPr>
          <w:rFonts w:hint="eastAsia" w:ascii="仿宋_GB2312" w:eastAsia="仿宋_GB2312"/>
          <w:sz w:val="32"/>
          <w:szCs w:val="32"/>
          <w:lang w:val="en-US" w:eastAsia="zh-CN"/>
        </w:rPr>
        <w:t>增加0.97</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lang w:val="en-US" w:eastAsia="zh-CN"/>
        </w:rPr>
        <w:t>在编人员医疗保险、大额医疗保险及公务员医疗补助</w:t>
      </w:r>
      <w:r>
        <w:rPr>
          <w:rFonts w:hint="eastAsia" w:ascii="仿宋_GB2312" w:eastAsia="仿宋_GB2312"/>
          <w:sz w:val="32"/>
          <w:szCs w:val="32"/>
        </w:rPr>
        <w:t>。</w:t>
      </w:r>
      <w:r>
        <w:rPr>
          <w:rFonts w:hint="eastAsia" w:eastAsia="仿宋_GB2312"/>
          <w:sz w:val="32"/>
          <w:szCs w:val="32"/>
        </w:rPr>
        <w:t xml:space="preserve"> </w:t>
      </w:r>
    </w:p>
    <w:p>
      <w:pPr>
        <w:adjustRightInd w:val="0"/>
        <w:snapToGrid w:val="0"/>
        <w:spacing w:line="50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ascii="仿宋_GB2312" w:eastAsia="仿宋_GB2312"/>
          <w:b/>
          <w:sz w:val="32"/>
          <w:szCs w:val="32"/>
          <w:lang w:val="en-US" w:eastAsia="zh-CN"/>
        </w:rPr>
        <w:t>城乡社区类</w:t>
      </w:r>
      <w:r>
        <w:rPr>
          <w:rFonts w:hint="eastAsia" w:eastAsia="仿宋_GB2312"/>
          <w:sz w:val="32"/>
          <w:szCs w:val="32"/>
          <w:lang w:val="en-US" w:eastAsia="zh-CN"/>
        </w:rPr>
        <w:t xml:space="preserve">   </w:t>
      </w:r>
      <w:r>
        <w:rPr>
          <w:rFonts w:hint="eastAsia" w:ascii="仿宋_GB2312" w:eastAsia="仿宋_GB2312"/>
          <w:sz w:val="32"/>
          <w:szCs w:val="32"/>
          <w:lang w:val="en-US" w:eastAsia="zh-CN"/>
        </w:rPr>
        <w:t>123.4</w:t>
      </w:r>
      <w:r>
        <w:rPr>
          <w:rFonts w:hint="eastAsia" w:eastAsia="仿宋_GB2312"/>
          <w:sz w:val="32"/>
          <w:szCs w:val="32"/>
          <w:lang w:val="en-US" w:eastAsia="zh-CN"/>
        </w:rPr>
        <w:t>万元，</w:t>
      </w:r>
      <w:r>
        <w:rPr>
          <w:rFonts w:hint="eastAsia" w:ascii="仿宋_GB2312" w:eastAsia="仿宋_GB2312"/>
          <w:sz w:val="32"/>
          <w:szCs w:val="32"/>
        </w:rPr>
        <w:t>比上年预算数</w:t>
      </w:r>
      <w:r>
        <w:rPr>
          <w:rFonts w:hint="eastAsia" w:ascii="仿宋_GB2312" w:eastAsia="仿宋_GB2312"/>
          <w:sz w:val="32"/>
          <w:szCs w:val="32"/>
          <w:lang w:val="en-US" w:eastAsia="zh-CN"/>
        </w:rPr>
        <w:t>增加97.27</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街道社区党组织建设、施划停车线、创城氛围营造、</w:t>
      </w:r>
      <w:r>
        <w:rPr>
          <w:rFonts w:hint="eastAsia" w:eastAsia="仿宋_GB2312"/>
          <w:sz w:val="32"/>
          <w:szCs w:val="32"/>
        </w:rPr>
        <w:t>社区残疾人温馨家园</w:t>
      </w:r>
      <w:r>
        <w:rPr>
          <w:rFonts w:hint="eastAsia" w:eastAsia="仿宋_GB2312"/>
          <w:sz w:val="32"/>
          <w:szCs w:val="32"/>
          <w:lang w:val="en-US" w:eastAsia="zh-CN"/>
        </w:rPr>
        <w:t>改造等项目</w:t>
      </w:r>
      <w:r>
        <w:rPr>
          <w:rFonts w:hint="eastAsia" w:ascii="仿宋_GB2312" w:eastAsia="仿宋_GB2312"/>
          <w:sz w:val="32"/>
          <w:szCs w:val="32"/>
        </w:rPr>
        <w:t>。</w:t>
      </w:r>
      <w:r>
        <w:rPr>
          <w:rFonts w:hint="eastAsia" w:eastAsia="仿宋_GB2312"/>
          <w:sz w:val="32"/>
          <w:szCs w:val="32"/>
        </w:rPr>
        <w:t xml:space="preserve"> </w:t>
      </w:r>
    </w:p>
    <w:p>
      <w:pPr>
        <w:adjustRightInd w:val="0"/>
        <w:snapToGrid w:val="0"/>
        <w:spacing w:line="500" w:lineRule="exact"/>
        <w:ind w:firstLine="640" w:firstLineChars="200"/>
        <w:rPr>
          <w:rFonts w:eastAsia="仿宋_GB2312"/>
          <w:b/>
          <w:sz w:val="32"/>
          <w:szCs w:val="32"/>
        </w:rPr>
      </w:pPr>
      <w:r>
        <w:rPr>
          <w:rFonts w:hint="eastAsia" w:eastAsia="仿宋_GB2312"/>
          <w:sz w:val="32"/>
          <w:szCs w:val="32"/>
          <w:lang w:val="en-US" w:eastAsia="zh-CN"/>
        </w:rPr>
        <w:t>5.</w:t>
      </w:r>
      <w:r>
        <w:rPr>
          <w:rFonts w:hint="eastAsia" w:ascii="仿宋_GB2312" w:eastAsia="仿宋_GB2312"/>
          <w:b/>
          <w:sz w:val="32"/>
          <w:szCs w:val="32"/>
          <w:lang w:val="en-US" w:eastAsia="zh-CN"/>
        </w:rPr>
        <w:t>住房保障类</w:t>
      </w:r>
      <w:r>
        <w:rPr>
          <w:rFonts w:hint="eastAsia" w:eastAsia="仿宋_GB2312"/>
          <w:sz w:val="32"/>
          <w:szCs w:val="32"/>
          <w:lang w:val="en-US" w:eastAsia="zh-CN"/>
        </w:rPr>
        <w:t xml:space="preserve">  </w:t>
      </w:r>
      <w:r>
        <w:rPr>
          <w:rFonts w:hint="eastAsia" w:ascii="仿宋_GB2312" w:eastAsia="仿宋_GB2312"/>
          <w:sz w:val="32"/>
          <w:szCs w:val="32"/>
          <w:lang w:val="en-US" w:eastAsia="zh-CN"/>
        </w:rPr>
        <w:t xml:space="preserve"> 24.44</w:t>
      </w:r>
      <w:r>
        <w:rPr>
          <w:rFonts w:hint="eastAsia" w:eastAsia="仿宋_GB2312"/>
          <w:sz w:val="32"/>
          <w:szCs w:val="32"/>
          <w:lang w:val="en-US" w:eastAsia="zh-CN"/>
        </w:rPr>
        <w:t>万元，</w:t>
      </w:r>
      <w:r>
        <w:rPr>
          <w:rFonts w:hint="eastAsia" w:ascii="仿宋_GB2312" w:eastAsia="仿宋_GB2312"/>
          <w:sz w:val="32"/>
          <w:szCs w:val="32"/>
        </w:rPr>
        <w:t>比上年预算数</w:t>
      </w:r>
      <w:r>
        <w:rPr>
          <w:rFonts w:hint="eastAsia" w:ascii="仿宋_GB2312" w:eastAsia="仿宋_GB2312"/>
          <w:sz w:val="32"/>
          <w:szCs w:val="32"/>
          <w:lang w:val="en-US" w:eastAsia="zh-CN"/>
        </w:rPr>
        <w:t>增加4.76</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汇缴</w:t>
      </w:r>
      <w:r>
        <w:rPr>
          <w:rFonts w:hint="eastAsia" w:ascii="仿宋_GB2312" w:eastAsia="仿宋_GB2312"/>
          <w:sz w:val="32"/>
          <w:szCs w:val="32"/>
        </w:rPr>
        <w:t>在编人员住房公积金。</w:t>
      </w:r>
      <w:r>
        <w:rPr>
          <w:rFonts w:hint="eastAsia"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eastAsia="仿宋_GB2312"/>
          <w:sz w:val="32"/>
          <w:szCs w:val="32"/>
          <w:lang w:val="en-US" w:eastAsia="zh-CN"/>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0</w:t>
      </w:r>
      <w:r>
        <w:rPr>
          <w:rFonts w:hint="eastAsia" w:eastAsia="仿宋_GB2312"/>
          <w:sz w:val="32"/>
          <w:szCs w:val="32"/>
        </w:rPr>
        <w:t>万元，比上年预算数</w:t>
      </w:r>
      <w:r>
        <w:rPr>
          <w:rFonts w:hint="eastAsia" w:eastAsia="仿宋_GB2312"/>
          <w:sz w:val="32"/>
          <w:szCs w:val="32"/>
          <w:lang w:val="en-US" w:eastAsia="zh-CN"/>
        </w:rPr>
        <w:t>减少</w:t>
      </w:r>
      <w:r>
        <w:rPr>
          <w:rFonts w:hint="eastAsia" w:ascii="仿宋_GB2312" w:eastAsia="仿宋_GB2312"/>
          <w:sz w:val="32"/>
          <w:szCs w:val="32"/>
          <w:lang w:val="en-US" w:eastAsia="zh-CN"/>
        </w:rPr>
        <w:t>80.39</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lang w:val="en-US" w:eastAsia="zh-CN"/>
        </w:rPr>
        <w:t>下降100%</w:t>
      </w:r>
      <w:r>
        <w:rPr>
          <w:rFonts w:hint="eastAsia" w:ascii="仿宋_GB2312" w:eastAsia="仿宋_GB2312"/>
          <w:sz w:val="32"/>
          <w:szCs w:val="32"/>
        </w:rPr>
        <w:t>。</w:t>
      </w:r>
      <w:r>
        <w:rPr>
          <w:rFonts w:hint="eastAsia" w:eastAsia="仿宋_GB2312"/>
          <w:sz w:val="32"/>
          <w:szCs w:val="32"/>
        </w:rPr>
        <w:t>主要</w:t>
      </w:r>
      <w:r>
        <w:rPr>
          <w:rFonts w:hint="eastAsia" w:eastAsia="仿宋_GB2312"/>
          <w:sz w:val="32"/>
          <w:szCs w:val="32"/>
          <w:lang w:val="en-US" w:eastAsia="zh-CN"/>
        </w:rPr>
        <w:t>是由于剩余专项资金已由财政收回。</w:t>
      </w:r>
    </w:p>
    <w:p>
      <w:pPr>
        <w:adjustRightInd w:val="0"/>
        <w:snapToGrid w:val="0"/>
        <w:spacing w:line="5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我部门无政府性基金财政拨款预算。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eastAsia="仿宋_GB2312"/>
          <w:sz w:val="32"/>
          <w:szCs w:val="32"/>
          <w:lang w:eastAsia="zh-CN"/>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w:t>
      </w:r>
      <w:r>
        <w:rPr>
          <w:rFonts w:hint="eastAsia" w:eastAsia="仿宋_GB2312"/>
          <w:sz w:val="32"/>
          <w:szCs w:val="32"/>
          <w:lang w:val="en-US" w:eastAsia="zh-CN"/>
        </w:rPr>
        <w:t>减少</w:t>
      </w:r>
      <w:r>
        <w:rPr>
          <w:rFonts w:hint="eastAsia" w:ascii="仿宋_GB2312" w:eastAsia="仿宋_GB2312"/>
          <w:sz w:val="32"/>
          <w:szCs w:val="32"/>
          <w:lang w:val="en-US" w:eastAsia="zh-CN"/>
        </w:rPr>
        <w:t>25.47</w:t>
      </w:r>
      <w:r>
        <w:rPr>
          <w:rFonts w:hint="eastAsia" w:eastAsia="仿宋_GB2312"/>
          <w:sz w:val="32"/>
          <w:szCs w:val="32"/>
        </w:rPr>
        <w:t>万元，</w:t>
      </w:r>
      <w:r>
        <w:rPr>
          <w:rFonts w:hint="eastAsia" w:ascii="仿宋_GB2312" w:eastAsia="仿宋_GB2312"/>
          <w:sz w:val="32"/>
          <w:szCs w:val="32"/>
          <w:lang w:val="en-US" w:eastAsia="zh-CN"/>
        </w:rPr>
        <w:t>下降100</w:t>
      </w:r>
      <w:r>
        <w:rPr>
          <w:rFonts w:hint="eastAsia" w:ascii="仿宋_GB2312" w:eastAsia="仿宋_GB2312"/>
          <w:sz w:val="32"/>
          <w:szCs w:val="32"/>
        </w:rPr>
        <w:t>%。</w:t>
      </w:r>
      <w:r>
        <w:rPr>
          <w:rFonts w:hint="eastAsia" w:eastAsia="仿宋_GB2312"/>
          <w:sz w:val="32"/>
          <w:szCs w:val="32"/>
        </w:rPr>
        <w:t>主要</w:t>
      </w:r>
      <w:r>
        <w:rPr>
          <w:rFonts w:hint="eastAsia" w:eastAsia="仿宋_GB2312"/>
          <w:sz w:val="32"/>
          <w:szCs w:val="32"/>
          <w:lang w:val="en-US" w:eastAsia="zh-CN"/>
        </w:rPr>
        <w:t>由</w:t>
      </w:r>
      <w:r>
        <w:rPr>
          <w:rFonts w:hint="eastAsia" w:eastAsia="仿宋_GB2312"/>
          <w:sz w:val="32"/>
          <w:szCs w:val="32"/>
        </w:rPr>
        <w:t>于</w:t>
      </w:r>
      <w:r>
        <w:rPr>
          <w:rFonts w:hint="eastAsia" w:eastAsia="仿宋_GB2312"/>
          <w:sz w:val="32"/>
          <w:szCs w:val="32"/>
          <w:lang w:val="en-US" w:eastAsia="zh-CN"/>
        </w:rPr>
        <w:t>新城</w:t>
      </w:r>
      <w:r>
        <w:rPr>
          <w:rFonts w:hint="eastAsia" w:eastAsia="仿宋_GB2312"/>
          <w:sz w:val="32"/>
          <w:szCs w:val="32"/>
        </w:rPr>
        <w:t>国企退休人员社会化管理</w:t>
      </w:r>
      <w:r>
        <w:rPr>
          <w:rFonts w:hint="eastAsia" w:eastAsia="仿宋_GB2312"/>
          <w:sz w:val="32"/>
          <w:szCs w:val="32"/>
          <w:lang w:val="en-US" w:eastAsia="zh-CN"/>
        </w:rPr>
        <w:t>专项资金到期已由财政收回</w:t>
      </w:r>
      <w:r>
        <w:rPr>
          <w:rFonts w:hint="eastAsia" w:eastAsia="仿宋_GB2312"/>
          <w:sz w:val="32"/>
          <w:szCs w:val="32"/>
          <w:lang w:eastAsia="zh-CN"/>
        </w:rPr>
        <w:t>。</w:t>
      </w:r>
    </w:p>
    <w:p>
      <w:pPr>
        <w:adjustRightInd w:val="0"/>
        <w:snapToGrid w:val="0"/>
        <w:spacing w:line="5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我部门无国有资本经营财政拨款预算。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5.3</w:t>
      </w:r>
      <w:r>
        <w:rPr>
          <w:rFonts w:hint="eastAsia" w:ascii="仿宋_GB2312" w:eastAsia="仿宋_GB2312"/>
          <w:sz w:val="32"/>
          <w:szCs w:val="32"/>
        </w:rPr>
        <w:t>万元，比上年预算增加</w:t>
      </w:r>
      <w:r>
        <w:rPr>
          <w:rFonts w:hint="eastAsia" w:ascii="仿宋_GB2312" w:eastAsia="仿宋_GB2312"/>
          <w:sz w:val="32"/>
          <w:szCs w:val="32"/>
          <w:lang w:val="en-US" w:eastAsia="zh-CN"/>
        </w:rPr>
        <w:t>0.3</w:t>
      </w:r>
      <w:r>
        <w:rPr>
          <w:rFonts w:hint="eastAsia" w:ascii="仿宋_GB2312" w:eastAsia="仿宋_GB2312"/>
          <w:sz w:val="32"/>
          <w:szCs w:val="32"/>
        </w:rPr>
        <w:t>万元，增长</w:t>
      </w:r>
      <w:r>
        <w:rPr>
          <w:rFonts w:hint="eastAsia" w:ascii="仿宋_GB2312" w:eastAsia="仿宋_GB2312"/>
          <w:sz w:val="32"/>
          <w:szCs w:val="32"/>
          <w:lang w:val="en-US" w:eastAsia="zh-CN"/>
        </w:rPr>
        <w:t>6</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3.57</w:t>
      </w:r>
      <w:r>
        <w:rPr>
          <w:rFonts w:hint="eastAsia" w:ascii="仿宋_GB2312" w:eastAsia="仿宋_GB2312"/>
          <w:sz w:val="32"/>
          <w:szCs w:val="32"/>
        </w:rPr>
        <w:t xml:space="preserve"> 万元，增长</w:t>
      </w:r>
      <w:r>
        <w:rPr>
          <w:rFonts w:hint="eastAsia" w:ascii="仿宋_GB2312" w:eastAsia="仿宋_GB2312"/>
          <w:sz w:val="32"/>
          <w:szCs w:val="32"/>
          <w:lang w:val="en-US" w:eastAsia="zh-CN"/>
        </w:rPr>
        <w:t>67.36</w:t>
      </w:r>
      <w:r>
        <w:rPr>
          <w:rFonts w:hint="eastAsia" w:ascii="仿宋_GB2312" w:eastAsia="仿宋_GB2312"/>
          <w:sz w:val="32"/>
          <w:szCs w:val="32"/>
        </w:rPr>
        <w:t>%。其中：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5.3</w:t>
      </w:r>
      <w:r>
        <w:rPr>
          <w:rFonts w:hint="eastAsia" w:ascii="仿宋_GB2312" w:eastAsia="仿宋_GB2312"/>
          <w:sz w:val="32"/>
          <w:szCs w:val="32"/>
        </w:rPr>
        <w:t>万元，比上年预算增加</w:t>
      </w:r>
      <w:r>
        <w:rPr>
          <w:rFonts w:hint="eastAsia" w:ascii="仿宋_GB2312" w:eastAsia="仿宋_GB2312"/>
          <w:sz w:val="32"/>
          <w:szCs w:val="32"/>
          <w:lang w:val="en-US" w:eastAsia="zh-CN"/>
        </w:rPr>
        <w:t>0.3</w:t>
      </w:r>
      <w:r>
        <w:rPr>
          <w:rFonts w:hint="eastAsia" w:ascii="仿宋_GB2312" w:eastAsia="仿宋_GB2312"/>
          <w:sz w:val="32"/>
          <w:szCs w:val="32"/>
        </w:rPr>
        <w:t>万元，增长</w:t>
      </w:r>
      <w:r>
        <w:rPr>
          <w:rFonts w:hint="eastAsia" w:ascii="仿宋_GB2312" w:eastAsia="仿宋_GB2312"/>
          <w:sz w:val="32"/>
          <w:szCs w:val="32"/>
          <w:lang w:val="en-US" w:eastAsia="zh-CN"/>
        </w:rPr>
        <w:t>6</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3.57</w:t>
      </w:r>
      <w:r>
        <w:rPr>
          <w:rFonts w:hint="eastAsia" w:ascii="仿宋_GB2312" w:eastAsia="仿宋_GB2312"/>
          <w:sz w:val="32"/>
          <w:szCs w:val="32"/>
        </w:rPr>
        <w:t>万元，增长</w:t>
      </w:r>
      <w:r>
        <w:rPr>
          <w:rFonts w:hint="eastAsia" w:ascii="仿宋_GB2312" w:eastAsia="仿宋_GB2312"/>
          <w:sz w:val="32"/>
          <w:szCs w:val="32"/>
          <w:lang w:val="en-US" w:eastAsia="zh-CN"/>
        </w:rPr>
        <w:t>67.36</w:t>
      </w:r>
      <w:r>
        <w:rPr>
          <w:rFonts w:hint="eastAsia" w:ascii="仿宋_GB2312" w:eastAsia="仿宋_GB2312"/>
          <w:sz w:val="32"/>
          <w:szCs w:val="32"/>
        </w:rPr>
        <w:t>%。其中，公务用车购置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%；公务用车运行维护费</w:t>
      </w:r>
      <w:r>
        <w:rPr>
          <w:rFonts w:hint="eastAsia" w:ascii="仿宋_GB2312" w:eastAsia="仿宋_GB2312"/>
          <w:sz w:val="32"/>
          <w:szCs w:val="32"/>
          <w:lang w:val="en-US" w:eastAsia="zh-CN"/>
        </w:rPr>
        <w:t>5.3</w:t>
      </w:r>
      <w:r>
        <w:rPr>
          <w:rFonts w:hint="eastAsia" w:ascii="仿宋_GB2312" w:eastAsia="仿宋_GB2312"/>
          <w:sz w:val="32"/>
          <w:szCs w:val="32"/>
        </w:rPr>
        <w:t>万元，本年预算比上年预算增加</w:t>
      </w:r>
      <w:r>
        <w:rPr>
          <w:rFonts w:hint="eastAsia" w:ascii="仿宋_GB2312" w:eastAsia="仿宋_GB2312"/>
          <w:sz w:val="32"/>
          <w:szCs w:val="32"/>
          <w:lang w:val="en-US" w:eastAsia="zh-CN"/>
        </w:rPr>
        <w:t>0.3</w:t>
      </w:r>
      <w:r>
        <w:rPr>
          <w:rFonts w:hint="eastAsia" w:ascii="仿宋_GB2312" w:eastAsia="仿宋_GB2312"/>
          <w:sz w:val="32"/>
          <w:szCs w:val="32"/>
        </w:rPr>
        <w:t>万元，增长</w:t>
      </w:r>
      <w:r>
        <w:rPr>
          <w:rFonts w:hint="eastAsia" w:ascii="仿宋_GB2312" w:eastAsia="仿宋_GB2312"/>
          <w:sz w:val="32"/>
          <w:szCs w:val="32"/>
          <w:lang w:val="en-US" w:eastAsia="zh-CN"/>
        </w:rPr>
        <w:t>6</w:t>
      </w:r>
      <w:r>
        <w:rPr>
          <w:rFonts w:hint="eastAsia" w:ascii="仿宋_GB2312" w:eastAsia="仿宋_GB2312"/>
          <w:sz w:val="32"/>
          <w:szCs w:val="32"/>
        </w:rPr>
        <w:t>%，比上年执行数增加</w:t>
      </w:r>
      <w:r>
        <w:rPr>
          <w:rFonts w:hint="eastAsia" w:ascii="仿宋_GB2312" w:eastAsia="仿宋_GB2312"/>
          <w:sz w:val="32"/>
          <w:szCs w:val="32"/>
          <w:lang w:val="en-US" w:eastAsia="zh-CN"/>
        </w:rPr>
        <w:t>3.57</w:t>
      </w:r>
      <w:r>
        <w:rPr>
          <w:rFonts w:hint="eastAsia" w:ascii="仿宋_GB2312" w:eastAsia="仿宋_GB2312"/>
          <w:sz w:val="32"/>
          <w:szCs w:val="32"/>
        </w:rPr>
        <w:t>万元，增长</w:t>
      </w:r>
      <w:r>
        <w:rPr>
          <w:rFonts w:hint="eastAsia" w:ascii="仿宋_GB2312" w:eastAsia="仿宋_GB2312"/>
          <w:sz w:val="32"/>
          <w:szCs w:val="32"/>
          <w:lang w:val="en-US" w:eastAsia="zh-CN"/>
        </w:rPr>
        <w:t>67.36</w:t>
      </w:r>
      <w:r>
        <w:rPr>
          <w:rFonts w:hint="eastAsia" w:ascii="仿宋_GB2312" w:eastAsia="仿宋_GB2312"/>
          <w:sz w:val="32"/>
          <w:szCs w:val="32"/>
        </w:rPr>
        <w:t>%。增加主要是由于</w:t>
      </w:r>
      <w:r>
        <w:rPr>
          <w:rFonts w:hint="eastAsia" w:ascii="仿宋_GB2312" w:eastAsia="仿宋_GB2312"/>
          <w:sz w:val="32"/>
          <w:szCs w:val="32"/>
          <w:lang w:val="en-US" w:eastAsia="zh-CN"/>
        </w:rPr>
        <w:t>我部门公务用车车况老旧，车辆维修成本和油耗较高</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w:t>
      </w:r>
      <w:r>
        <w:rPr>
          <w:rFonts w:hint="eastAsia" w:ascii="仿宋_GB2312" w:eastAsia="仿宋_GB2312"/>
          <w:sz w:val="32"/>
          <w:szCs w:val="32"/>
          <w:lang w:val="en-US" w:eastAsia="zh-CN"/>
        </w:rPr>
        <w:t>部门</w:t>
      </w:r>
      <w:r>
        <w:rPr>
          <w:rFonts w:hint="eastAsia" w:ascii="仿宋_GB2312" w:eastAsia="仿宋_GB2312"/>
          <w:sz w:val="32"/>
          <w:szCs w:val="32"/>
        </w:rPr>
        <w:t>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60.86</w:t>
      </w:r>
      <w:r>
        <w:rPr>
          <w:rFonts w:hint="eastAsia" w:ascii="仿宋_GB2312" w:eastAsia="仿宋_GB2312"/>
          <w:color w:val="000000"/>
          <w:sz w:val="32"/>
          <w:szCs w:val="32"/>
        </w:rPr>
        <w:t>万元，比上年</w:t>
      </w:r>
      <w:r>
        <w:rPr>
          <w:rFonts w:hint="eastAsia" w:ascii="仿宋_GB2312" w:eastAsia="仿宋_GB2312"/>
          <w:color w:val="000000"/>
          <w:sz w:val="32"/>
          <w:szCs w:val="32"/>
          <w:lang w:val="en-US" w:eastAsia="zh-CN"/>
        </w:rPr>
        <w:t>增加</w:t>
      </w:r>
      <w:r>
        <w:rPr>
          <w:rFonts w:hint="eastAsia" w:ascii="仿宋_GB2312" w:eastAsia="仿宋_GB2312"/>
          <w:sz w:val="32"/>
          <w:szCs w:val="32"/>
          <w:lang w:val="en-US" w:eastAsia="zh-CN"/>
        </w:rPr>
        <w:t>8.9</w:t>
      </w:r>
      <w:r>
        <w:rPr>
          <w:rFonts w:hint="eastAsia" w:ascii="仿宋_GB2312" w:eastAsia="仿宋_GB2312"/>
          <w:color w:val="000000"/>
          <w:sz w:val="32"/>
          <w:szCs w:val="32"/>
        </w:rPr>
        <w:t>万元，</w:t>
      </w:r>
      <w:r>
        <w:rPr>
          <w:rFonts w:hint="eastAsia" w:ascii="仿宋_GB2312" w:eastAsia="仿宋_GB2312"/>
          <w:sz w:val="32"/>
          <w:szCs w:val="32"/>
          <w:lang w:val="en-US" w:eastAsia="zh-CN"/>
        </w:rPr>
        <w:t>增加17.13</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我部门换了新办公地点增加邮电费、取暖费支出</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29.09</w:t>
      </w:r>
      <w:r>
        <w:rPr>
          <w:rFonts w:hint="eastAsia" w:ascii="仿宋_GB2312" w:eastAsia="仿宋_GB2312"/>
          <w:sz w:val="32"/>
          <w:szCs w:val="32"/>
        </w:rPr>
        <w:t>万元、</w:t>
      </w:r>
      <w:r>
        <w:rPr>
          <w:rFonts w:hint="eastAsia" w:ascii="仿宋_GB2312" w:eastAsia="仿宋_GB2312"/>
          <w:sz w:val="32"/>
          <w:szCs w:val="32"/>
          <w:lang w:val="en-US" w:eastAsia="zh-CN"/>
        </w:rPr>
        <w:t>手续费0.11万元、水费1万元、电费3万元、</w:t>
      </w:r>
      <w:r>
        <w:rPr>
          <w:rFonts w:hint="eastAsia" w:ascii="仿宋_GB2312" w:eastAsia="仿宋_GB2312"/>
          <w:sz w:val="32"/>
          <w:szCs w:val="32"/>
        </w:rPr>
        <w:t>邮电费</w:t>
      </w:r>
      <w:r>
        <w:rPr>
          <w:rFonts w:hint="eastAsia" w:ascii="仿宋_GB2312" w:eastAsia="仿宋_GB2312"/>
          <w:sz w:val="32"/>
          <w:szCs w:val="32"/>
          <w:lang w:val="en-US" w:eastAsia="zh-CN"/>
        </w:rPr>
        <w:t>8.5</w:t>
      </w:r>
      <w:r>
        <w:rPr>
          <w:rFonts w:hint="eastAsia" w:ascii="仿宋_GB2312" w:eastAsia="仿宋_GB2312"/>
          <w:sz w:val="32"/>
          <w:szCs w:val="32"/>
        </w:rPr>
        <w:t>万元、</w:t>
      </w:r>
      <w:r>
        <w:rPr>
          <w:rFonts w:hint="eastAsia" w:ascii="仿宋_GB2312" w:eastAsia="仿宋_GB2312"/>
          <w:sz w:val="32"/>
          <w:szCs w:val="32"/>
          <w:lang w:val="en-US" w:eastAsia="zh-CN"/>
        </w:rPr>
        <w:t>取暖费3万元、</w:t>
      </w:r>
      <w:r>
        <w:rPr>
          <w:rFonts w:hint="eastAsia" w:ascii="仿宋_GB2312" w:eastAsia="仿宋_GB2312"/>
          <w:sz w:val="32"/>
          <w:szCs w:val="32"/>
        </w:rPr>
        <w:t>差旅费</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eastAsia" w:ascii="仿宋_GB2312" w:eastAsia="仿宋_GB2312"/>
          <w:sz w:val="32"/>
          <w:szCs w:val="32"/>
          <w:lang w:val="en-US" w:eastAsia="zh-CN"/>
        </w:rPr>
        <w:t>维修（护）费1万元、劳务费1万元、委托业务费1万元、</w:t>
      </w:r>
      <w:r>
        <w:rPr>
          <w:rFonts w:hint="eastAsia" w:ascii="仿宋_GB2312" w:eastAsia="仿宋_GB2312"/>
          <w:sz w:val="32"/>
          <w:szCs w:val="32"/>
        </w:rPr>
        <w:t>培训费</w:t>
      </w:r>
      <w:r>
        <w:rPr>
          <w:rFonts w:hint="eastAsia" w:ascii="仿宋_GB2312" w:eastAsia="仿宋_GB2312"/>
          <w:sz w:val="32"/>
          <w:szCs w:val="32"/>
          <w:lang w:val="en-US" w:eastAsia="zh-CN"/>
        </w:rPr>
        <w:t>0</w:t>
      </w:r>
      <w:r>
        <w:rPr>
          <w:rFonts w:hint="eastAsia" w:ascii="仿宋_GB2312" w:eastAsia="仿宋_GB2312"/>
          <w:sz w:val="32"/>
          <w:szCs w:val="32"/>
        </w:rPr>
        <w:t>万元、工会经费</w:t>
      </w:r>
      <w:r>
        <w:rPr>
          <w:rFonts w:hint="eastAsia" w:ascii="仿宋_GB2312" w:eastAsia="仿宋_GB2312"/>
          <w:sz w:val="32"/>
          <w:szCs w:val="32"/>
          <w:lang w:val="en-US" w:eastAsia="zh-CN"/>
        </w:rPr>
        <w:t>0</w:t>
      </w:r>
      <w:r>
        <w:rPr>
          <w:rFonts w:hint="eastAsia" w:ascii="仿宋_GB2312" w:eastAsia="仿宋_GB2312"/>
          <w:sz w:val="32"/>
          <w:szCs w:val="32"/>
        </w:rPr>
        <w:t>万元、福利费</w:t>
      </w:r>
      <w:r>
        <w:rPr>
          <w:rFonts w:hint="eastAsia" w:ascii="仿宋_GB2312" w:eastAsia="仿宋_GB2312"/>
          <w:sz w:val="32"/>
          <w:szCs w:val="32"/>
          <w:lang w:val="en-US" w:eastAsia="zh-CN"/>
        </w:rPr>
        <w:t>0</w:t>
      </w:r>
      <w:r>
        <w:rPr>
          <w:rFonts w:hint="eastAsia" w:ascii="仿宋_GB2312" w:eastAsia="仿宋_GB2312"/>
          <w:sz w:val="32"/>
          <w:szCs w:val="32"/>
        </w:rPr>
        <w:t>万元、公务用车维护费</w:t>
      </w:r>
      <w:r>
        <w:rPr>
          <w:rFonts w:hint="eastAsia" w:ascii="仿宋_GB2312" w:eastAsia="仿宋_GB2312"/>
          <w:sz w:val="32"/>
          <w:szCs w:val="32"/>
          <w:lang w:val="en-US" w:eastAsia="zh-CN"/>
        </w:rPr>
        <w:t>5.3</w:t>
      </w:r>
      <w:r>
        <w:rPr>
          <w:rFonts w:hint="eastAsia" w:ascii="仿宋_GB2312" w:eastAsia="仿宋_GB2312"/>
          <w:sz w:val="32"/>
          <w:szCs w:val="32"/>
        </w:rPr>
        <w:t>万元、其他交通费</w:t>
      </w:r>
      <w:r>
        <w:rPr>
          <w:rFonts w:hint="eastAsia" w:ascii="仿宋_GB2312" w:eastAsia="仿宋_GB2312"/>
          <w:sz w:val="32"/>
          <w:szCs w:val="32"/>
          <w:lang w:val="en-US" w:eastAsia="zh-CN"/>
        </w:rPr>
        <w:t>4.86</w:t>
      </w:r>
      <w:r>
        <w:rPr>
          <w:rFonts w:hint="eastAsia" w:ascii="仿宋_GB2312" w:eastAsia="仿宋_GB2312"/>
          <w:sz w:val="32"/>
          <w:szCs w:val="32"/>
        </w:rPr>
        <w:t>万元、其他</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30.88</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16.1</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14.78</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  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13</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13</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365.38</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车力木格</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8889931</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eastAsia="zh-CN"/>
        </w:rPr>
        <w:t>12</w:t>
      </w:r>
      <w:r>
        <w:rPr>
          <w:rFonts w:hint="eastAsia" w:ascii="仿宋_GB2312" w:hAnsi="黑体" w:eastAsia="仿宋_GB2312"/>
          <w:color w:val="000000"/>
          <w:sz w:val="32"/>
          <w:szCs w:val="32"/>
        </w:rPr>
        <w:t>张表</w:t>
      </w:r>
      <w:r>
        <w:rPr>
          <w:rFonts w:hint="eastAsia" w:ascii="仿宋_GB2312" w:hAnsi="黑体" w:eastAsia="仿宋_GB2312"/>
          <w:color w:val="000000"/>
          <w:sz w:val="32"/>
          <w:szCs w:val="32"/>
          <w:lang w:val="en-US" w:eastAsia="zh-CN"/>
        </w:rPr>
        <w:t>以分表</w:t>
      </w:r>
      <w:bookmarkStart w:id="1" w:name="_GoBack"/>
      <w:bookmarkEnd w:id="1"/>
      <w:r>
        <w:rPr>
          <w:rFonts w:hint="eastAsia" w:ascii="仿宋_GB2312" w:hAnsi="黑体" w:eastAsia="仿宋_GB2312"/>
          <w:color w:val="000000"/>
          <w:sz w:val="32"/>
          <w:szCs w:val="32"/>
        </w:rPr>
        <w:t>形式按系统要求上传。项目支出绩效目标表以总表形式上传。</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ÂËÎ Western">
    <w:altName w:val="仿宋"/>
    <w:panose1 w:val="00000000000000000000"/>
    <w:charset w:val="00"/>
    <w:family w:val="auto"/>
    <w:pitch w:val="default"/>
    <w:sig w:usb0="00000000" w:usb1="00000000" w:usb2="00000000" w:usb3="00000000" w:csb0="00000001" w:csb1="00000000"/>
  </w:font>
  <w:font w:name="¿¬Ìå Western">
    <w:altName w:val="楷体"/>
    <w:panose1 w:val="00000000000000000000"/>
    <w:charset w:val="00"/>
    <w:family w:val="auto"/>
    <w:pitch w:val="default"/>
    <w:sig w:usb0="00000000" w:usb1="00000000" w:usb2="00000000" w:usb3="00000000" w:csb0="00000001"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spacing w:before="120" w:after="240"/>
      <w:jc w:val="both"/>
    </w:pPr>
    <w:rPr>
      <w:rFonts w:ascii="Calibri" w:hAnsi="Calibri" w:eastAsia="宋体" w:cs="黑体"/>
      <w:sz w:val="22"/>
      <w:szCs w:val="22"/>
      <w:lang w:val="en-US" w:eastAsia="zh-CN" w:bidi="ar-SA"/>
    </w:rPr>
  </w:style>
  <w:style w:type="character" w:default="1" w:styleId="4">
    <w:name w:val="Default Paragraph Font"/>
    <w:semiHidden/>
    <w:unhideWhenUsed/>
    <w:qFormat/>
    <w:uiPriority w:val="1"/>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0"/>
    <w:rPr>
      <w:sz w:val="18"/>
      <w:szCs w:val="18"/>
    </w:rPr>
  </w:style>
  <w:style w:type="character" w:customStyle="1" w:styleId="6">
    <w:name w:val="页脚 Char Char"/>
    <w:basedOn w:val="4"/>
    <w:link w:val="2"/>
    <w:uiPriority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622</Words>
  <Characters>3548</Characters>
  <Lines>29</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cp:lastPrinted>2023-02-14T01:58:34Z</cp:lastPrinted>
  <dcterms:modified xsi:type="dcterms:W3CDTF">2023-02-14T01:59:07Z</dcterms:modified>
  <dc:title>报告样式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CD0A11407A324D528CBD92B159CCE625</vt:lpwstr>
  </property>
</Properties>
</file>