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" w:beforeAutospacing="0" w:after="150" w:afterAutospacing="0" w:line="4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</w:rPr>
        <w:t>《习近平谈治国理政》第四卷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  <w:t>---四、坚持敢于斗争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38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《习近平谈治国理政》第四卷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---四、坚持敢于斗争。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30" w:beforeAutospacing="0" w:after="0" w:afterAutospacing="0" w:line="380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要深刻把握《习近平谈治国理政》第四卷和习近平总书记重要讲话精神的精髓要义，坚持好、运用好贯穿其中的马克思主义立场观点方法，努力学懂弄通做实。要深刻把握“两个确立”的决定性意义，把忠诚拥护“两个确立”、坚决做到“两个维护”作为最高政治原则和根本政治规矩。要深刻把握对国际国内形势的科学判断，敢于斗争、善于斗争，更好地应变局、育新机、开新局。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5120" w:firstLineChars="1600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546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2102511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25111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2102511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251115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IwOWY3NmQ1ODZmYjMxMGFjNzllODEzYWMwODkifQ=="/>
  </w:docVars>
  <w:rsids>
    <w:rsidRoot w:val="00000000"/>
    <w:rsid w:val="01DC3303"/>
    <w:rsid w:val="407E1D03"/>
    <w:rsid w:val="4CA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284</Characters>
  <Lines>0</Lines>
  <Paragraphs>0</Paragraphs>
  <TotalTime>1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﹎@善变↗</cp:lastModifiedBy>
  <dcterms:modified xsi:type="dcterms:W3CDTF">2022-10-25T03:21:32Z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ECEDDEB02F6D40F7B343D8B90C8BBC5F</vt:lpwstr>
  </property>
</Properties>
</file>