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新城街道机关党支部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7" w:firstLineChars="4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十三次集中学习信息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2022年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，新城街道机关党支部召开集中学习会，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街道办事处党工委副书记王磊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主持会议，街道机关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全体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党员干部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同志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参加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学习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会议学习了治国理政四中《民心是最大的整治》，还根据开发区要求学习了《优化营商环境条例》。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会议上指出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加强党的政治建设，要紧扣民心这个最大的政治，把赢得民心民意、汇集民智民力作为重要着力点。要站稳人民立场，贯彻党的群众路线，坚决反对“四风”特别是形式主义、官僚主义，始终保持党同人民群众的血肉联系。要教育和激励广大党员、干部锐意进取、奋发有为，把精力和心思用在稳增长、促改革、调结构、惠民生、防风险上，用在破难题、克难关、着力解决人民群众最关心最直接最现实的利益问题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会议强调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《优化营商环境条例》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于2019年8月23日对外发布，自2020年1月1日起施行，条例的颁布在我国营商环境建设制度史上具有里程碑意义，标志我国优化营商环境制度建设进入新的阶段。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条例把近年来有关优化营商环境的政策措施、经验做法变成全社会具有法律约束力的制度规范，从制度层面为优化营商环境提供更有力的保障和支撑，必将在新的起点上对持续优化营商环境产生巨大推动作用。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15fae581ea7f9479d74ff12dd5b0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fae581ea7f9479d74ff12dd5b0c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43d91a873f696f7dd6002d6a49427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d91a873f696f7dd6002d6a49427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Dk1Y2RhNTY3MzMwNjk0Mzg2MzQxOGQxNWJmYjEifQ=="/>
  </w:docVars>
  <w:rsids>
    <w:rsidRoot w:val="6B2B7766"/>
    <w:rsid w:val="6B2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2022-10-17T01:28:00Z</dcterms:created>
  <dc:creator>难得糊涂</dc:creator>
  <cp:lastModifiedBy>难得糊涂</cp:lastModifiedBy>
  <dcterms:modified xsi:type="dcterms:W3CDTF">2022-10-17T02:28:57Z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6592AEE50C384B268DE37EF765665F9F</vt:lpwstr>
  </property>
</Properties>
</file>