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sz w:val="32"/>
        </w:rPr>
      </w:pPr>
      <w:r>
        <w:rPr>
          <w:rFonts w:hint="eastAsia" w:ascii="仿宋_GB2312" w:hAnsi="仿宋_GB2312" w:eastAsia="仿宋_GB2312"/>
          <w:sz w:val="32"/>
        </w:rPr>
        <w:t>通经技新街</w:t>
      </w:r>
      <w:r>
        <w:rPr>
          <w:rFonts w:hint="eastAsia" w:ascii="仿宋_GB2312" w:hAnsi="仿宋_GB2312" w:eastAsia="仿宋_GB2312"/>
          <w:sz w:val="32"/>
          <w:lang w:eastAsia="zh-CN"/>
        </w:rPr>
        <w:t>党</w:t>
      </w:r>
      <w:r>
        <w:rPr>
          <w:rFonts w:hint="eastAsia" w:ascii="仿宋_GB2312" w:hAnsi="仿宋_GB2312" w:eastAsia="仿宋_GB2312"/>
          <w:sz w:val="32"/>
        </w:rPr>
        <w:t>发〔20</w:t>
      </w:r>
      <w:r>
        <w:rPr>
          <w:rFonts w:hint="eastAsia" w:ascii="仿宋_GB2312" w:hAnsi="仿宋_GB2312" w:eastAsia="仿宋_GB2312"/>
          <w:sz w:val="32"/>
          <w:lang w:val="en-US" w:eastAsia="zh-CN"/>
        </w:rPr>
        <w:t>22〕5</w:t>
      </w:r>
      <w:r>
        <w:rPr>
          <w:rFonts w:hint="eastAsia" w:ascii="仿宋_GB2312" w:hAnsi="仿宋_GB2312" w:eastAsia="仿宋_GB2312"/>
          <w:sz w:val="32"/>
        </w:rPr>
        <w:t>号</w:t>
      </w:r>
    </w:p>
    <w:p>
      <w:pPr>
        <w:jc w:val="center"/>
        <w:rPr>
          <w:rFonts w:hint="eastAsia" w:ascii="仿宋_GB2312" w:hAnsi="仿宋_GB2312" w:eastAsia="仿宋_GB2312"/>
          <w:sz w:val="32"/>
        </w:rPr>
      </w:pPr>
    </w:p>
    <w:p>
      <w:pPr>
        <w:jc w:val="center"/>
        <w:rPr>
          <w:rFonts w:hint="default"/>
          <w:b/>
          <w:bCs/>
          <w:sz w:val="44"/>
          <w:szCs w:val="44"/>
          <w:lang w:val="en-US" w:eastAsia="zh-CN"/>
        </w:rPr>
      </w:pPr>
      <w:r>
        <w:rPr>
          <w:rFonts w:hint="eastAsia"/>
          <w:b/>
          <w:bCs/>
          <w:sz w:val="44"/>
          <w:szCs w:val="44"/>
          <w:lang w:val="en-US" w:eastAsia="zh-CN"/>
        </w:rPr>
        <w:t>关于印发新城街道应急救援制度的通知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b/>
          <w:bCs/>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各社区：</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按照相关工作要求，结合本街道实际，现将新城街道建立的应急救援制度印发给你们，请开展好具体工作。</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附件：新城街道应急救援制度</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sectPr>
          <w:pgSz w:w="11906" w:h="16838"/>
          <w:pgMar w:top="1440" w:right="1800" w:bottom="1440" w:left="1800" w:header="851" w:footer="992" w:gutter="0"/>
          <w:pgNumType w:fmt="decimal" w:start="2"/>
          <w:cols w:space="720" w:num="1"/>
          <w:docGrid w:type="lines" w:linePitch="312" w:charSpace="0"/>
        </w:sect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（此页无正文）</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2022年1月7日</w:t>
      </w: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eastAsia" w:ascii="仿宋_GB2312" w:hAnsi="仿宋_GB2312" w:eastAsia="仿宋_GB2312"/>
          <w:sz w:val="32"/>
          <w:szCs w:val="30"/>
          <w:lang w:val="en-US" w:eastAsia="zh-CN"/>
        </w:rPr>
      </w:pPr>
    </w:p>
    <w:p>
      <w:pPr>
        <w:jc w:val="both"/>
        <w:rPr>
          <w:rFonts w:hint="default" w:ascii="仿宋_GB2312" w:hAnsi="仿宋_GB2312" w:eastAsia="仿宋_GB2312"/>
          <w:sz w:val="32"/>
          <w:szCs w:val="30"/>
          <w:lang w:val="en-US" w:eastAsia="zh-CN"/>
        </w:rPr>
      </w:pPr>
    </w:p>
    <w:p>
      <w:pPr>
        <w:pBdr>
          <w:top w:val="single" w:color="auto" w:sz="4" w:space="0"/>
          <w:bottom w:val="single" w:color="auto" w:sz="4" w:space="0"/>
        </w:pBdr>
        <w:rPr>
          <w:rFonts w:hint="eastAsia" w:ascii="仿宋" w:hAnsi="仿宋" w:eastAsia="仿宋" w:cs="仿宋_GB2312"/>
          <w:color w:val="000000"/>
          <w:kern w:val="0"/>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sz w:val="32"/>
          <w:lang w:val="en-US" w:eastAsia="zh-CN"/>
        </w:rPr>
        <w:t>通辽经济技术开发区新城街</w:t>
      </w:r>
      <w:bookmarkStart w:id="0" w:name="_GoBack"/>
      <w:bookmarkEnd w:id="0"/>
      <w:r>
        <w:rPr>
          <w:rFonts w:hint="eastAsia" w:ascii="仿宋_GB2312" w:hAnsi="仿宋_GB2312" w:eastAsia="仿宋_GB2312"/>
          <w:sz w:val="32"/>
          <w:lang w:val="en-US" w:eastAsia="zh-CN"/>
        </w:rPr>
        <w:t xml:space="preserve">道党工委   </w:t>
      </w:r>
      <w:r>
        <w:rPr>
          <w:rFonts w:hint="eastAsia" w:ascii="仿宋_GB2312" w:hAnsi="仿宋_GB2312" w:eastAsia="仿宋_GB2312"/>
          <w:spacing w:val="-20"/>
          <w:sz w:val="32"/>
          <w:lang w:val="en-US" w:eastAsia="zh-CN"/>
        </w:rPr>
        <w:t>2022年1月 7日印发</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sectPr>
          <w:footerReference r:id="rId3" w:type="default"/>
          <w:pgSz w:w="11906" w:h="16838"/>
          <w:pgMar w:top="1440" w:right="1800" w:bottom="1440" w:left="1800" w:header="851" w:footer="992" w:gutter="0"/>
          <w:pgNumType w:fmt="decimal" w:start="2"/>
          <w:cols w:space="720" w:num="1"/>
          <w:docGrid w:type="lines" w:linePitch="312" w:charSpace="0"/>
        </w:sectPr>
      </w:pPr>
    </w:p>
    <w:p>
      <w:pPr>
        <w:keepNext w:val="0"/>
        <w:keepLines w:val="0"/>
        <w:pageBreakBefore w:val="0"/>
        <w:kinsoku/>
        <w:wordWrap/>
        <w:overflowPunct/>
        <w:topLinePunct w:val="0"/>
        <w:autoSpaceDE/>
        <w:autoSpaceDN/>
        <w:bidi w:val="0"/>
        <w:adjustRightIn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jc w:val="center"/>
        <w:rPr>
          <w:rFonts w:hint="eastAsia"/>
          <w:b/>
          <w:bCs/>
          <w:sz w:val="44"/>
          <w:szCs w:val="44"/>
          <w:lang w:val="en-US" w:eastAsia="zh-CN"/>
        </w:rPr>
      </w:pPr>
      <w:r>
        <w:rPr>
          <w:rFonts w:hint="eastAsia"/>
          <w:b/>
          <w:bCs/>
          <w:sz w:val="44"/>
          <w:szCs w:val="44"/>
          <w:lang w:val="en-US" w:eastAsia="zh-CN"/>
        </w:rPr>
        <w:t>新城街道应急救援制度</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一、总则</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1、为了加强和规范巨野公路局应急队伍建设与管理，全面提升应急处置能力和水平，根据《国务院办公厅关于加强基层应急队伍建设的意见》，制定本制度。</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2、本管理制度针对应急救援领导小组及成员和应急救援队伍小组及成员。</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3、按照“统一指挥、纪律严明、反应迅速、处置高效、布局合理”的原则，根据新城街道突发事件特点，统筹建设和管理应急救援队伍。</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二、应急救援队伍建设制度</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1、根据新城街道能更好的处理突发事件的需要，按照相关规定建立正规的应急救援领导小组和应急救援队伍。</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2、纳入应急救援队伍的成员，要有良好的精神面貌和身体条件，并有遇事“不慌、不乱、不怕”的心里素质。</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3、健全应急队伍成员库，建立基本资料档案，并及时更新信息。</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4、应急队伍实行动态管理，根据应急处置情况对成员及时进行调整。</w:t>
      </w:r>
    </w:p>
    <w:p>
      <w:pPr>
        <w:keepNext w:val="0"/>
        <w:keepLines w:val="0"/>
        <w:pageBreakBefore w:val="0"/>
        <w:kinsoku/>
        <w:wordWrap/>
        <w:overflowPunct/>
        <w:topLinePunct w:val="0"/>
        <w:autoSpaceDE/>
        <w:autoSpaceDN/>
        <w:bidi w:val="0"/>
        <w:adjustRightInd/>
        <w:spacing w:line="560" w:lineRule="exact"/>
        <w:ind w:firstLine="320" w:firstLineChars="1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5、每年开展专题应急培训与演练，以提高应急队伍实战能力和应急处置水平。</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三、队员条件</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1、热爱工作、忠实履行职责和义务；具有奉献、敬业、团结合作精神。</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2、熟练掌握相关专业知识和技能。</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3、接受过应急培训和处理过突发事件者优先。</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4、以基干民兵为主。</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四、队员应履行的职责</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1、贯彻执行党的路线、方针、政策，遵守国家法律、法规和规章制度，认真学习应急法律法规。</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2、严格履行应急救援工作职责，服从命令、听从指挥、尽心尽力。忠于职守，树立高度的工作责任感，不怕苦、不怕累、不怕牺牲，扎实开展应急救援工作，坚决完成上级赋予的各项应急救援以及其他任务。</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3、积极参加学习、教育和演练，主动接受应急知识培训，不断提高应对处置各类突发事件的能力。积极参加应急救援培训和应急救援工作，不得以任何理由推诿、拖延、编造理由不参加。</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4、积极做好应急准备，加强应急救援装备和物资的储备、维护、保养。</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5、在应急救援过程中应听从指挥，不能擅自做决定去救援，严格规范自己的救援行为。</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6、要如实汇报并记录救援事项和过程，并做好救援工作总结。 积极向上级汇报更好的应急救援工作的建议。</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7、时刻准备、随时待命。</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五、队员享有的权力</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1、对不清楚、不明了的应急救援知识向上级部门申请相关的学习。</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2、配备应急救援中必备的装备，如果没有应急救援装备可以拒绝作业。</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六、奖惩制度</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1、在突发救援工作中，表现突出、成绩显著的应急队伍和个人，由相关部门给予表彰和奖励。</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2、应急队伍有下列情形之一的，可以根据情节对相关人员予以处分：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（1）未做好应急装备、设施日常维护、检测准备工作，导致事态扩大影响恶劣的。</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（2）未及时采取措施处置突发事件或处置不当造成严重后果的。</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（3）不服从指挥机构对突发事件的指挥的。</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cs="仿宋"/>
          <w:color w:val="auto"/>
          <w:sz w:val="32"/>
          <w:szCs w:val="32"/>
          <w:lang w:val="en-US" w:eastAsia="zh-CN"/>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16" o:spid="_x0000_s411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15" o:spid="_x0000_s411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D92569"/>
    <w:rsid w:val="021D3C5E"/>
    <w:rsid w:val="02255755"/>
    <w:rsid w:val="02F4096E"/>
    <w:rsid w:val="033B6121"/>
    <w:rsid w:val="03A03CE1"/>
    <w:rsid w:val="03F80551"/>
    <w:rsid w:val="04215CAB"/>
    <w:rsid w:val="06291ACF"/>
    <w:rsid w:val="0672110D"/>
    <w:rsid w:val="09301A56"/>
    <w:rsid w:val="0B0A5B16"/>
    <w:rsid w:val="0BFA5245"/>
    <w:rsid w:val="0BFE793E"/>
    <w:rsid w:val="0DA63E3D"/>
    <w:rsid w:val="0F1767C4"/>
    <w:rsid w:val="111F0AD7"/>
    <w:rsid w:val="137873E5"/>
    <w:rsid w:val="139A0CBF"/>
    <w:rsid w:val="14D90140"/>
    <w:rsid w:val="154D0622"/>
    <w:rsid w:val="1621181B"/>
    <w:rsid w:val="1867538C"/>
    <w:rsid w:val="19F050C5"/>
    <w:rsid w:val="1AF75D75"/>
    <w:rsid w:val="1AFF01D8"/>
    <w:rsid w:val="1FD10241"/>
    <w:rsid w:val="20AB78C5"/>
    <w:rsid w:val="21736A19"/>
    <w:rsid w:val="21A31D5F"/>
    <w:rsid w:val="24B36F8F"/>
    <w:rsid w:val="253E4E2D"/>
    <w:rsid w:val="25AB6CC3"/>
    <w:rsid w:val="27AB15C9"/>
    <w:rsid w:val="27F457D6"/>
    <w:rsid w:val="28050632"/>
    <w:rsid w:val="2A321AEF"/>
    <w:rsid w:val="2E434370"/>
    <w:rsid w:val="31453A74"/>
    <w:rsid w:val="35DB2084"/>
    <w:rsid w:val="36B84F77"/>
    <w:rsid w:val="3730274A"/>
    <w:rsid w:val="3CCF3BB7"/>
    <w:rsid w:val="40ED2413"/>
    <w:rsid w:val="41291ED9"/>
    <w:rsid w:val="417E6781"/>
    <w:rsid w:val="42C36DD4"/>
    <w:rsid w:val="433A0FA3"/>
    <w:rsid w:val="43FD7263"/>
    <w:rsid w:val="440A1733"/>
    <w:rsid w:val="440F6F8F"/>
    <w:rsid w:val="461E3BE0"/>
    <w:rsid w:val="467E0AF9"/>
    <w:rsid w:val="48C7120D"/>
    <w:rsid w:val="497E6F2C"/>
    <w:rsid w:val="4A063858"/>
    <w:rsid w:val="4A463276"/>
    <w:rsid w:val="4B815AE9"/>
    <w:rsid w:val="4D0F6165"/>
    <w:rsid w:val="4D9F19D2"/>
    <w:rsid w:val="4DC71621"/>
    <w:rsid w:val="4E5161E9"/>
    <w:rsid w:val="504A05B2"/>
    <w:rsid w:val="52DE357A"/>
    <w:rsid w:val="53756B51"/>
    <w:rsid w:val="53DF0959"/>
    <w:rsid w:val="5773022F"/>
    <w:rsid w:val="5A1D1F98"/>
    <w:rsid w:val="5CE17C5D"/>
    <w:rsid w:val="5D7D2A6B"/>
    <w:rsid w:val="5D937E0D"/>
    <w:rsid w:val="60D63DB1"/>
    <w:rsid w:val="611605B1"/>
    <w:rsid w:val="631C6507"/>
    <w:rsid w:val="648A0A7A"/>
    <w:rsid w:val="66A241A0"/>
    <w:rsid w:val="67791049"/>
    <w:rsid w:val="682637C7"/>
    <w:rsid w:val="686A174D"/>
    <w:rsid w:val="698558ED"/>
    <w:rsid w:val="6A2D5E56"/>
    <w:rsid w:val="6BFC57A2"/>
    <w:rsid w:val="6C4D537E"/>
    <w:rsid w:val="6CF721B7"/>
    <w:rsid w:val="6DBD1D6B"/>
    <w:rsid w:val="704A3A92"/>
    <w:rsid w:val="71810C1C"/>
    <w:rsid w:val="71F15957"/>
    <w:rsid w:val="72230077"/>
    <w:rsid w:val="72D01AC4"/>
    <w:rsid w:val="739102A9"/>
    <w:rsid w:val="764671BE"/>
    <w:rsid w:val="769E256C"/>
    <w:rsid w:val="774F6BFD"/>
    <w:rsid w:val="7A085330"/>
    <w:rsid w:val="7A55020C"/>
    <w:rsid w:val="7A5515F3"/>
    <w:rsid w:val="7AAC27C7"/>
    <w:rsid w:val="7B741C3D"/>
    <w:rsid w:val="7BE52AA5"/>
    <w:rsid w:val="7D7E54D1"/>
    <w:rsid w:val="7DC37A2F"/>
    <w:rsid w:val="7E9759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FollowedHyperlink"/>
    <w:basedOn w:val="7"/>
    <w:qFormat/>
    <w:uiPriority w:val="0"/>
    <w:rPr>
      <w:color w:val="4E4E4E"/>
      <w:sz w:val="18"/>
      <w:szCs w:val="18"/>
      <w:u w:val="none"/>
    </w:rPr>
  </w:style>
  <w:style w:type="character" w:styleId="10">
    <w:name w:val="Hyperlink"/>
    <w:basedOn w:val="7"/>
    <w:qFormat/>
    <w:uiPriority w:val="0"/>
    <w:rPr>
      <w:color w:val="4E4E4E"/>
      <w:sz w:val="18"/>
      <w:szCs w:val="18"/>
      <w:u w:val="none"/>
    </w:rPr>
  </w:style>
  <w:style w:type="paragraph" w:customStyle="1" w:styleId="11">
    <w:name w:val="列出段落1"/>
    <w:basedOn w:val="1"/>
    <w:unhideWhenUsed/>
    <w:qFormat/>
    <w:uiPriority w:val="99"/>
    <w:pPr>
      <w:ind w:firstLine="420" w:firstLineChars="200"/>
    </w:pPr>
  </w:style>
  <w:style w:type="character" w:customStyle="1" w:styleId="12">
    <w:name w:val="页眉 Char Char"/>
    <w:basedOn w:val="7"/>
    <w:link w:val="4"/>
    <w:qFormat/>
    <w:uiPriority w:val="0"/>
    <w:rPr>
      <w:kern w:val="2"/>
      <w:sz w:val="18"/>
      <w:szCs w:val="18"/>
    </w:rPr>
  </w:style>
  <w:style w:type="character" w:customStyle="1" w:styleId="13">
    <w:name w:val="页脚 Char Char"/>
    <w:basedOn w:val="7"/>
    <w:link w:val="3"/>
    <w:qFormat/>
    <w:uiPriority w:val="0"/>
    <w:rPr>
      <w:kern w:val="2"/>
      <w:sz w:val="18"/>
      <w:szCs w:val="18"/>
    </w:rPr>
  </w:style>
  <w:style w:type="character" w:customStyle="1" w:styleId="14">
    <w:name w:val="open"/>
    <w:basedOn w:val="7"/>
    <w:qFormat/>
    <w:uiPriority w:val="0"/>
  </w:style>
  <w:style w:type="character" w:customStyle="1" w:styleId="15">
    <w:name w:val="clos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16" textRotate="1"/>
    <customShpInfo spid="_x0000_s411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865</Words>
  <Characters>4933</Characters>
  <Lines>41</Lines>
  <Paragraphs>11</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2016-11-12T06:24:00Z</dcterms:created>
  <dc:creator>Administrator</dc:creator>
  <cp:lastModifiedBy>Administrator</cp:lastModifiedBy>
  <cp:lastPrinted>2022-01-05T07:12:00Z</cp:lastPrinted>
  <dcterms:modified xsi:type="dcterms:W3CDTF">2022-01-07T07:29:10Z</dcterms:modified>
  <dc:title>通经技新街党发〔2018〕101号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8071D75D97CA49FC886EF7DCC0C6F626</vt:lpwstr>
  </property>
</Properties>
</file>