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eastAsia="zh-CN"/>
        </w:rPr>
        <w:t>通辽市科尔沁区人民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检察院到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7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  <w:lang w:eastAsia="zh-CN"/>
        </w:rPr>
        <w:t>新城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44"/>
          <w:szCs w:val="44"/>
          <w:shd w:val="clear" w:fill="FFFFFF"/>
        </w:rPr>
        <w:t>司法所督导检查社区矫正工作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为进一步加强对社区矫正工作的监督，严格落实社区矫正监管制度。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近日，通辽市科尔沁区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检察院到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新城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司法所监督检查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社区矫正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检查组一行首先与司法所工作人员进行沟通交流，充分听取基层司法所工作人员的工作汇报,并对辖区内社区矫正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对象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台账进行逐一核对,详细了解司法所人员配置、社区矫正对象人数、犯罪类型、日常管理措施等情况。随后检查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组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详细查阅了社区矫正对象的档案，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重点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对社区矫正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对象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报到情况、日常教育、外出请假、管理措施和档案管理等环节工作进行检查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同时，利用监管系统对手机定位、人脸签到等进行了检查。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此次检查，检察院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新城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司法所矫正工作书面档案的规范化以及落实管控措施给予认同，同时提出强化管控工作等意见和建议。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今后，新城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司法所将积极落实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检察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机关要求，严格执行社区矫正各项管理规定，不断推进社区矫正工作规范化，有效提升社区矫正工作质量。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（供稿人：武文超）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微信图片_2022071908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190817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微信图片_2022071908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90818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dlY2YyMjM1OTE0MGUyZjM4MjM5ZGE1ZjdiNGIifQ=="/>
  </w:docVars>
  <w:rsids>
    <w:rsidRoot w:val="00000000"/>
    <w:rsid w:val="0FB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2022-07-19T00:03:08Z</dcterms:created>
  <dc:creator>Administrator</dc:creator>
  <cp:lastModifiedBy>武文超</cp:lastModifiedBy>
  <dcterms:modified xsi:type="dcterms:W3CDTF">2022-07-19T00:18:32Z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6F278DE171C84E879BF244002E655F00</vt:lpwstr>
  </property>
</Properties>
</file>