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楷体简体" w:hAnsi="方正楷体简体" w:eastAsia="方正楷体简体" w:cs="方正楷体简体"/>
          <w:b w:val="0"/>
          <w:bCs w:val="0"/>
          <w:color w:val="auto"/>
          <w:sz w:val="32"/>
          <w:szCs w:val="32"/>
          <w:u w:val="none" w:color="auto"/>
          <w:lang w:val="en-US" w:eastAsia="zh-CN"/>
        </w:rPr>
      </w:pPr>
      <w:r>
        <w:rPr>
          <w:rFonts w:hint="eastAsia" w:ascii="方正小标宋简体" w:hAnsi="方正小标宋简体" w:eastAsia="方正小标宋简体" w:cs="方正小标宋简体"/>
          <w:color w:val="auto"/>
          <w:sz w:val="44"/>
          <w:szCs w:val="44"/>
          <w:u w:val="none" w:color="auto"/>
          <w:lang w:val="en-US" w:eastAsia="zh-CN"/>
        </w:rPr>
        <w:t>2021年工作总结及2022年工作计划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val="0"/>
          <w:bCs w:val="0"/>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简体" w:hAnsi="方正楷体简体" w:eastAsia="方正楷体简体" w:cs="方正楷体简体"/>
          <w:b w:val="0"/>
          <w:bCs w:val="0"/>
          <w:color w:val="auto"/>
          <w:sz w:val="32"/>
          <w:szCs w:val="32"/>
          <w:u w:val="none" w:color="auto"/>
          <w:lang w:val="en-US" w:eastAsia="zh-CN"/>
        </w:rPr>
      </w:pPr>
      <w:r>
        <w:rPr>
          <w:rFonts w:hint="eastAsia" w:ascii="方正楷体简体" w:hAnsi="方正楷体简体" w:eastAsia="方正楷体简体" w:cs="方正楷体简体"/>
          <w:b w:val="0"/>
          <w:bCs w:val="0"/>
          <w:color w:val="auto"/>
          <w:sz w:val="32"/>
          <w:szCs w:val="32"/>
          <w:u w:val="none" w:color="auto"/>
          <w:lang w:val="en-US" w:eastAsia="zh-CN"/>
        </w:rPr>
        <w:t>商务局</w:t>
      </w:r>
    </w:p>
    <w:p>
      <w:pPr>
        <w:keepNext w:val="0"/>
        <w:keepLines w:val="0"/>
        <w:pageBreakBefore w:val="0"/>
        <w:kinsoku/>
        <w:wordWrap/>
        <w:overflowPunct/>
        <w:topLinePunct w:val="0"/>
        <w:autoSpaceDE/>
        <w:autoSpaceDN/>
        <w:bidi w:val="0"/>
        <w:adjustRightInd/>
        <w:snapToGrid/>
        <w:spacing w:line="560" w:lineRule="exact"/>
        <w:textAlignment w:val="auto"/>
        <w:rPr>
          <w:rFonts w:hint="default"/>
          <w:color w:val="auto"/>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方正黑体简体" w:hAnsi="方正黑体简体" w:eastAsia="方正黑体简体" w:cs="方正黑体简体"/>
          <w:b w:val="0"/>
          <w:bCs w:val="0"/>
          <w:color w:val="auto"/>
          <w:sz w:val="32"/>
          <w:szCs w:val="32"/>
          <w:u w:val="none" w:color="auto"/>
          <w:lang w:val="en-US" w:eastAsia="zh-CN"/>
        </w:rPr>
        <w:t>一、重点项目全面推进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pPr>
      <w:r>
        <w:rPr>
          <w:rFonts w:hint="eastAsia" w:ascii="方正仿宋简体" w:hAnsi="方正仿宋简体" w:eastAsia="方正仿宋简体" w:cs="方正仿宋简体"/>
          <w:b/>
          <w:bCs/>
          <w:sz w:val="32"/>
          <w:szCs w:val="32"/>
          <w:u w:val="none" w:color="auto"/>
          <w:lang w:val="en-US" w:eastAsia="zh-CN"/>
        </w:rPr>
        <w:t>一</w:t>
      </w:r>
      <w:r>
        <w:rPr>
          <w:rFonts w:hint="default" w:ascii="方正仿宋简体" w:hAnsi="方正仿宋简体" w:eastAsia="方正仿宋简体" w:cs="方正仿宋简体"/>
          <w:b/>
          <w:bCs/>
          <w:sz w:val="32"/>
          <w:szCs w:val="32"/>
          <w:u w:val="none" w:color="auto"/>
          <w:lang w:val="en-US" w:eastAsia="zh-CN"/>
        </w:rPr>
        <w:t>是</w:t>
      </w:r>
      <w:r>
        <w:rPr>
          <w:rFonts w:hint="eastAsia" w:ascii="方正仿宋简体" w:hAnsi="方正仿宋简体" w:eastAsia="方正仿宋简体" w:cs="方正仿宋简体"/>
          <w:b/>
          <w:bCs/>
          <w:sz w:val="32"/>
          <w:szCs w:val="32"/>
          <w:u w:val="none" w:color="auto"/>
          <w:lang w:val="en-US" w:eastAsia="zh-CN"/>
        </w:rPr>
        <w:t>维多利</w:t>
      </w:r>
      <w:r>
        <w:rPr>
          <w:rFonts w:hint="default" w:ascii="Times New Roman" w:hAnsi="Times New Roman" w:eastAsia="方正仿宋简体" w:cs="Times New Roman"/>
          <w:b/>
          <w:bCs/>
          <w:color w:val="auto"/>
          <w:sz w:val="32"/>
          <w:szCs w:val="32"/>
          <w:u w:val="none" w:color="auto"/>
          <w:lang w:eastAsia="zh-CN"/>
        </w:rPr>
        <w:t>摩尔城</w:t>
      </w:r>
      <w:r>
        <w:rPr>
          <w:rFonts w:hint="eastAsia" w:ascii="Times New Roman" w:hAnsi="Times New Roman" w:eastAsia="方正仿宋简体" w:cs="Times New Roman"/>
          <w:b/>
          <w:bCs/>
          <w:color w:val="auto"/>
          <w:sz w:val="32"/>
          <w:szCs w:val="32"/>
          <w:u w:val="none" w:color="auto"/>
          <w:lang w:eastAsia="zh-CN"/>
        </w:rPr>
        <w:t>开业运营，</w:t>
      </w:r>
      <w:r>
        <w:rPr>
          <w:rFonts w:hint="eastAsia" w:ascii="Times New Roman" w:hAnsi="Times New Roman" w:eastAsia="方正仿宋简体" w:cs="Times New Roman"/>
          <w:color w:val="auto"/>
          <w:sz w:val="32"/>
          <w:szCs w:val="32"/>
          <w:u w:val="none" w:color="auto"/>
          <w:lang w:eastAsia="zh-CN"/>
        </w:rPr>
        <w:t>2021年9月25日，通辽新城区维多利·摩尔城开业运营，</w:t>
      </w:r>
      <w:r>
        <w:rPr>
          <w:rFonts w:hint="default" w:ascii="Times New Roman" w:hAnsi="Times New Roman" w:eastAsia="方正仿宋简体" w:cs="Times New Roman"/>
          <w:color w:val="auto"/>
          <w:sz w:val="32"/>
          <w:szCs w:val="32"/>
          <w:u w:val="none" w:color="auto"/>
          <w:lang w:val="en-US" w:eastAsia="zh-CN"/>
        </w:rPr>
        <w:t>入驻知名品牌有星巴克、肯德基、阿迪达斯和耐克、维多利精品超市、白马王国主题儿童亲子乐园、中影V+影城、特色主题美食小镇等全品类主力店160余家。开业至今实现销售额</w:t>
      </w:r>
      <w:r>
        <w:rPr>
          <w:rFonts w:hint="eastAsia" w:ascii="Times New Roman" w:hAnsi="Times New Roman" w:eastAsia="方正仿宋简体" w:cs="Times New Roman"/>
          <w:color w:val="auto"/>
          <w:sz w:val="32"/>
          <w:szCs w:val="32"/>
          <w:u w:val="none" w:color="auto"/>
          <w:lang w:val="en-US" w:eastAsia="zh-CN"/>
        </w:rPr>
        <w:t>约3000</w:t>
      </w:r>
      <w:r>
        <w:rPr>
          <w:rFonts w:hint="default" w:ascii="Times New Roman" w:hAnsi="Times New Roman" w:eastAsia="方正仿宋简体" w:cs="Times New Roman"/>
          <w:color w:val="auto"/>
          <w:sz w:val="32"/>
          <w:szCs w:val="32"/>
          <w:u w:val="none" w:color="auto"/>
          <w:lang w:val="en-US" w:eastAsia="zh-CN"/>
        </w:rPr>
        <w:t>万元</w:t>
      </w:r>
      <w:r>
        <w:rPr>
          <w:rFonts w:hint="eastAsia" w:ascii="Times New Roman" w:hAnsi="Times New Roman" w:eastAsia="方正仿宋简体" w:cs="Times New Roman"/>
          <w:color w:val="auto"/>
          <w:sz w:val="32"/>
          <w:szCs w:val="32"/>
          <w:u w:val="none" w:color="auto"/>
          <w:lang w:val="en-US" w:eastAsia="zh-CN"/>
        </w:rPr>
        <w:t>，</w:t>
      </w:r>
      <w:r>
        <w:rPr>
          <w:rFonts w:hint="default" w:ascii="Times New Roman" w:hAnsi="Times New Roman" w:eastAsia="方正仿宋简体" w:cs="Times New Roman"/>
          <w:color w:val="auto"/>
          <w:sz w:val="32"/>
          <w:szCs w:val="32"/>
          <w:u w:val="none" w:color="auto"/>
          <w:lang w:val="en-US" w:eastAsia="zh-CN"/>
        </w:rPr>
        <w:t>带动就业1200余人</w:t>
      </w:r>
      <w:r>
        <w:rPr>
          <w:rFonts w:hint="eastAsia" w:ascii="Times New Roman" w:hAnsi="Times New Roman" w:eastAsia="方正仿宋简体" w:cs="Times New Roman"/>
          <w:color w:val="auto"/>
          <w:sz w:val="32"/>
          <w:szCs w:val="32"/>
          <w:u w:val="none" w:color="auto"/>
          <w:lang w:val="en-US" w:eastAsia="zh-CN"/>
        </w:rPr>
        <w:t>，</w:t>
      </w:r>
      <w:r>
        <w:rPr>
          <w:rFonts w:hint="default" w:ascii="Times New Roman" w:hAnsi="Times New Roman" w:eastAsia="方正仿宋简体" w:cs="Times New Roman"/>
          <w:color w:val="auto"/>
          <w:sz w:val="32"/>
          <w:szCs w:val="32"/>
          <w:u w:val="none" w:color="auto"/>
          <w:lang w:val="en-US" w:eastAsia="zh-CN"/>
        </w:rPr>
        <w:t>全年预计可实现利税约200余万元</w:t>
      </w:r>
      <w:r>
        <w:rPr>
          <w:rFonts w:hint="eastAsia" w:ascii="Times New Roman" w:hAnsi="Times New Roman" w:eastAsia="方正仿宋简体" w:cs="Times New Roman"/>
          <w:color w:val="auto"/>
          <w:sz w:val="32"/>
          <w:szCs w:val="32"/>
          <w:u w:val="none" w:color="auto"/>
          <w:lang w:val="en-US" w:eastAsia="zh-CN"/>
        </w:rPr>
        <w:t>。商场目前</w:t>
      </w:r>
      <w:r>
        <w:rPr>
          <w:rFonts w:hint="default" w:ascii="Times New Roman" w:hAnsi="Times New Roman" w:eastAsia="方正仿宋简体" w:cs="Times New Roman"/>
          <w:color w:val="auto"/>
          <w:sz w:val="32"/>
          <w:szCs w:val="32"/>
          <w:u w:val="none" w:color="auto"/>
          <w:lang w:val="en-US" w:eastAsia="zh-CN"/>
        </w:rPr>
        <w:t>日均客流量</w:t>
      </w:r>
      <w:r>
        <w:rPr>
          <w:rFonts w:hint="eastAsia" w:ascii="Times New Roman" w:hAnsi="Times New Roman" w:eastAsia="方正仿宋简体" w:cs="Times New Roman"/>
          <w:color w:val="auto"/>
          <w:sz w:val="32"/>
          <w:szCs w:val="32"/>
          <w:u w:val="none" w:color="auto"/>
          <w:lang w:val="en-US" w:eastAsia="zh-CN"/>
        </w:rPr>
        <w:t>约5000</w:t>
      </w:r>
      <w:r>
        <w:rPr>
          <w:rFonts w:hint="default" w:ascii="Times New Roman" w:hAnsi="Times New Roman" w:eastAsia="方正仿宋简体" w:cs="Times New Roman"/>
          <w:color w:val="auto"/>
          <w:sz w:val="32"/>
          <w:szCs w:val="32"/>
          <w:u w:val="none" w:color="auto"/>
          <w:lang w:val="en-US" w:eastAsia="zh-CN"/>
        </w:rPr>
        <w:t>人次</w:t>
      </w:r>
      <w:r>
        <w:rPr>
          <w:rFonts w:hint="eastAsia" w:ascii="Times New Roman" w:hAnsi="Times New Roman" w:eastAsia="方正仿宋简体" w:cs="Times New Roman"/>
          <w:color w:val="auto"/>
          <w:sz w:val="32"/>
          <w:szCs w:val="32"/>
          <w:u w:val="none" w:color="auto"/>
          <w:lang w:val="en-US" w:eastAsia="zh-CN"/>
        </w:rPr>
        <w:t>。维多利摩尔城的开业运营填补了新城区缺少大型商场的空白，满足了新城区市民全品类的生活、娱乐和购物的需求，进一步丰富了新城区商业业态</w:t>
      </w:r>
      <w:r>
        <w:rPr>
          <w:rFonts w:hint="default" w:ascii="Times New Roman" w:hAnsi="Times New Roman" w:eastAsia="方正仿宋简体" w:cs="Times New Roman"/>
          <w:color w:val="auto"/>
          <w:sz w:val="32"/>
          <w:szCs w:val="32"/>
          <w:u w:val="none" w:color="auto"/>
          <w:lang w:val="en-US" w:eastAsia="zh-CN"/>
        </w:rPr>
        <w:t>；</w:t>
      </w:r>
      <w:r>
        <w:rPr>
          <w:rFonts w:hint="default" w:ascii="Times New Roman" w:hAnsi="Times New Roman" w:eastAsia="方正仿宋简体" w:cs="Times New Roman"/>
          <w:b/>
          <w:bCs/>
          <w:i w:val="0"/>
          <w:caps w:val="0"/>
          <w:color w:val="auto"/>
          <w:spacing w:val="0"/>
          <w:w w:val="100"/>
          <w:sz w:val="32"/>
          <w:szCs w:val="32"/>
          <w:u w:val="none" w:color="auto"/>
          <w:lang w:val="en-US" w:eastAsia="zh-CN"/>
        </w:rPr>
        <w:t>二是通辽绿色农副产品批发市场仓储冷藏保障库（三期）项目</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全部建完，项目</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占地面积52.38亩，总建筑面积42977.8平方米，截止目前完成投资9000万元，</w:t>
      </w:r>
      <w:r>
        <w:rPr>
          <w:rFonts w:hint="default" w:ascii="Times New Roman" w:hAnsi="Times New Roman" w:eastAsia="方正仿宋简体" w:cs="Times New Roman"/>
          <w:color w:val="auto"/>
          <w:sz w:val="32"/>
          <w:szCs w:val="32"/>
          <w:u w:val="none" w:color="auto"/>
          <w:lang w:val="en-US" w:eastAsia="zh-CN"/>
        </w:rPr>
        <w:t>已完成</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12472平方米</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9562平方米的两栋仓储库、18124平方米的分拣中心</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和</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3153平方米的物流服务中心</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主体</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建设，部分</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已</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投入使用，</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开始</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陆续入住商户。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方正黑体简体" w:hAnsi="方正黑体简体" w:eastAsia="方正黑体简体" w:cs="方正黑体简体"/>
          <w:b w:val="0"/>
          <w:bCs w:val="0"/>
          <w:color w:val="auto"/>
          <w:sz w:val="32"/>
          <w:szCs w:val="32"/>
          <w:u w:val="none" w:color="auto"/>
          <w:lang w:val="en-US" w:eastAsia="zh-CN"/>
        </w:rPr>
        <w:t>二、内贸流通增长明显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pP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 xml:space="preserve"> 202</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1</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年开发区社会消费品零售总额达</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49.39</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亿元，</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增速为6.2</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总量</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位列通辽市第</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二</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其中，限额以上</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汽车销售类实现销售26.57亿元，同比增长13.5%</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生产资料农资类实现销售额约0.8</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2</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亿元，同比上升</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3</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农机具类实现销售额</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8.31</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亿元，同比上升</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17.5</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生活必需品零售类实现销售</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额</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约</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1.3亿</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元</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大型建材家居卖场共开展促销活动</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17</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次，实现销售</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额3198.15</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万元，</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同比增长</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63.1</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成品油销量约4.</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5</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万吨，同比增长10.1%，其中汽油销量约3.</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3</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6万吨，同比增长14.7%，柴油销量约1.</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1</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4万吨，同比增长0.82%。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u w:val="none" w:color="auto"/>
          <w:lang w:val="en-US" w:eastAsia="zh-CN"/>
        </w:rPr>
      </w:pPr>
      <w:r>
        <w:rPr>
          <w:rFonts w:hint="eastAsia" w:ascii="方正楷体简体" w:hAnsi="方正楷体简体" w:eastAsia="方正楷体简体" w:cs="方正楷体简体"/>
          <w:b w:val="0"/>
          <w:bCs w:val="0"/>
          <w:color w:val="auto"/>
          <w:sz w:val="32"/>
          <w:szCs w:val="32"/>
          <w:u w:val="none" w:color="auto"/>
          <w:lang w:val="en-US" w:eastAsia="zh-CN"/>
        </w:rPr>
        <w:t>（一）专业市场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pP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一是通辽绿色农副产品批发市场，</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每天向市区、旗县地区供应蔬菜约500吨、水果约460吨。目前，市场入驻商户500余户，全年营业额近105亿元，同比增长20%；</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二是瑞丰汽贸园，</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通辽市区以及周边地区的汽车销售70％以上来自汽贸园，全年营业额26.57亿元；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三是瑞丰农机市场，</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是蒙东最大的农机市场，全年交易额达约8.31亿元；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四是瑞丰农资市场，</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全年交易额约0.82亿元；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五是安华建材城，</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全年交易额约0.21亿元；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六是</w:t>
      </w:r>
      <w:r>
        <w:rPr>
          <w:rFonts w:hint="default" w:ascii="Times New Roman" w:hAnsi="Times New Roman" w:eastAsia="方正仿宋简体" w:cs="Times New Roman"/>
          <w:b/>
          <w:bCs/>
          <w:color w:val="auto"/>
          <w:sz w:val="32"/>
          <w:szCs w:val="32"/>
          <w:u w:val="none" w:color="auto"/>
          <w:lang w:eastAsia="zh-CN"/>
        </w:rPr>
        <w:t>万力</w:t>
      </w:r>
      <w:r>
        <w:rPr>
          <w:rFonts w:hint="default" w:ascii="Times New Roman" w:hAnsi="Times New Roman" w:eastAsia="方正仿宋简体" w:cs="Times New Roman"/>
          <w:b/>
          <w:bCs/>
          <w:color w:val="auto"/>
          <w:sz w:val="32"/>
          <w:szCs w:val="32"/>
          <w:u w:val="none" w:color="auto"/>
        </w:rPr>
        <w:t>二手车交易市场</w:t>
      </w:r>
      <w:r>
        <w:rPr>
          <w:rFonts w:hint="eastAsia" w:ascii="Times New Roman" w:hAnsi="Times New Roman" w:eastAsia="方正仿宋简体" w:cs="Times New Roman"/>
          <w:b/>
          <w:bCs/>
          <w:color w:val="auto"/>
          <w:sz w:val="32"/>
          <w:szCs w:val="32"/>
          <w:u w:val="none" w:color="auto"/>
          <w:lang w:eastAsia="zh-CN"/>
        </w:rPr>
        <w:t>，</w:t>
      </w:r>
      <w:r>
        <w:rPr>
          <w:rFonts w:hint="eastAsia" w:ascii="Times New Roman" w:hAnsi="Times New Roman" w:eastAsia="方正仿宋简体" w:cs="Times New Roman"/>
          <w:color w:val="auto"/>
          <w:sz w:val="32"/>
          <w:szCs w:val="32"/>
          <w:u w:val="none" w:color="auto"/>
          <w:lang w:val="en-US" w:eastAsia="zh-CN"/>
        </w:rPr>
        <w:t>全年</w:t>
      </w:r>
      <w:r>
        <w:rPr>
          <w:rFonts w:hint="default" w:ascii="Times New Roman" w:hAnsi="Times New Roman" w:eastAsia="方正仿宋简体" w:cs="Times New Roman"/>
          <w:color w:val="auto"/>
          <w:sz w:val="32"/>
          <w:szCs w:val="32"/>
          <w:u w:val="none" w:color="auto"/>
          <w:lang w:eastAsia="zh-CN"/>
        </w:rPr>
        <w:t>成交车辆</w:t>
      </w:r>
      <w:r>
        <w:rPr>
          <w:rFonts w:hint="eastAsia" w:ascii="Times New Roman" w:hAnsi="Times New Roman" w:eastAsia="方正仿宋简体" w:cs="Times New Roman"/>
          <w:color w:val="auto"/>
          <w:sz w:val="32"/>
          <w:szCs w:val="32"/>
          <w:u w:val="none" w:color="auto"/>
          <w:lang w:val="en-US" w:eastAsia="zh-CN"/>
        </w:rPr>
        <w:t>3830</w:t>
      </w:r>
      <w:r>
        <w:rPr>
          <w:rFonts w:hint="default" w:ascii="Times New Roman" w:hAnsi="Times New Roman" w:eastAsia="方正仿宋简体" w:cs="Times New Roman"/>
          <w:color w:val="auto"/>
          <w:sz w:val="32"/>
          <w:szCs w:val="32"/>
          <w:u w:val="none" w:color="auto"/>
          <w:lang w:val="en-US" w:eastAsia="zh-CN"/>
        </w:rPr>
        <w:t>台，</w:t>
      </w:r>
      <w:r>
        <w:rPr>
          <w:rFonts w:hint="default" w:ascii="Times New Roman" w:hAnsi="Times New Roman" w:eastAsia="方正仿宋简体" w:cs="Times New Roman"/>
          <w:color w:val="auto"/>
          <w:sz w:val="32"/>
          <w:szCs w:val="32"/>
          <w:u w:val="none" w:color="auto"/>
          <w:lang w:eastAsia="zh-CN"/>
        </w:rPr>
        <w:t>交易额</w:t>
      </w:r>
      <w:r>
        <w:rPr>
          <w:rFonts w:hint="eastAsia" w:ascii="Times New Roman" w:hAnsi="Times New Roman" w:eastAsia="方正仿宋简体" w:cs="Times New Roman"/>
          <w:color w:val="auto"/>
          <w:sz w:val="32"/>
          <w:szCs w:val="32"/>
          <w:u w:val="none" w:color="auto"/>
          <w:lang w:val="en-US" w:eastAsia="zh-CN"/>
        </w:rPr>
        <w:t>1.91</w:t>
      </w:r>
      <w:r>
        <w:rPr>
          <w:rFonts w:hint="default" w:ascii="Times New Roman" w:hAnsi="Times New Roman" w:eastAsia="方正仿宋简体" w:cs="Times New Roman"/>
          <w:color w:val="auto"/>
          <w:sz w:val="32"/>
          <w:szCs w:val="32"/>
          <w:u w:val="none" w:color="auto"/>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i w:val="0"/>
          <w:iCs w:val="0"/>
          <w:caps w:val="0"/>
          <w:color w:val="auto"/>
          <w:spacing w:val="0"/>
          <w:w w:val="100"/>
          <w:sz w:val="32"/>
          <w:szCs w:val="32"/>
          <w:u w:val="none" w:color="auto"/>
          <w:lang w:val="en-US" w:eastAsia="zh-CN"/>
        </w:rPr>
      </w:pPr>
      <w:r>
        <w:rPr>
          <w:rFonts w:hint="eastAsia" w:ascii="方正楷体简体" w:hAnsi="方正楷体简体" w:eastAsia="方正楷体简体" w:cs="方正楷体简体"/>
          <w:b w:val="0"/>
          <w:bCs w:val="0"/>
          <w:i w:val="0"/>
          <w:iCs w:val="0"/>
          <w:caps w:val="0"/>
          <w:color w:val="auto"/>
          <w:spacing w:val="0"/>
          <w:w w:val="100"/>
          <w:sz w:val="32"/>
          <w:szCs w:val="32"/>
          <w:u w:val="none" w:color="auto"/>
          <w:lang w:val="en-US" w:eastAsia="zh-CN"/>
        </w:rPr>
        <w:t>（二）大型商场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pP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一是居然之家</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全年交易额约0.31亿元；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二是维多利摩尔城</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开业至今销售额月0.3亿元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；三是日之美购物广场</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全年营业额约0.15亿元；</w:t>
      </w:r>
      <w:r>
        <w:rPr>
          <w:rFonts w:hint="eastAsia" w:ascii="Times New Roman" w:hAnsi="Times New Roman" w:eastAsia="方正仿宋简体" w:cs="Times New Roman"/>
          <w:b/>
          <w:bCs/>
          <w:i w:val="0"/>
          <w:iCs w:val="0"/>
          <w:caps w:val="0"/>
          <w:color w:val="auto"/>
          <w:spacing w:val="0"/>
          <w:w w:val="100"/>
          <w:sz w:val="32"/>
          <w:szCs w:val="32"/>
          <w:u w:val="none" w:color="auto"/>
          <w:lang w:val="en-US" w:eastAsia="zh-CN"/>
        </w:rPr>
        <w:t>四是红星美凯龙家居</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全年交易额约0.19亿元。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u w:val="none" w:color="auto"/>
          <w:lang w:val="en-US" w:eastAsia="zh-CN"/>
        </w:rPr>
      </w:pPr>
      <w:r>
        <w:rPr>
          <w:rFonts w:hint="eastAsia" w:ascii="方正楷体简体" w:hAnsi="方正楷体简体" w:eastAsia="方正楷体简体" w:cs="方正楷体简体"/>
          <w:b w:val="0"/>
          <w:bCs w:val="0"/>
          <w:color w:val="auto"/>
          <w:sz w:val="32"/>
          <w:szCs w:val="32"/>
          <w:u w:val="none" w:color="auto"/>
          <w:lang w:val="en-US" w:eastAsia="zh-CN"/>
        </w:rPr>
        <w:t>（三）成品油销售上涨明显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Times New Roman" w:hAnsi="Times New Roman" w:eastAsia="方正仿宋简体" w:cs="Times New Roman"/>
          <w:color w:val="auto"/>
          <w:sz w:val="32"/>
          <w:szCs w:val="32"/>
          <w:u w:val="none" w:color="auto"/>
          <w:lang w:val="en-US" w:eastAsia="zh-CN"/>
        </w:rPr>
        <w:t>2021年</w:t>
      </w:r>
      <w:r>
        <w:rPr>
          <w:rFonts w:hint="eastAsia" w:ascii="Times New Roman" w:hAnsi="Times New Roman" w:eastAsia="方正仿宋简体" w:cs="Times New Roman"/>
          <w:color w:val="auto"/>
          <w:sz w:val="32"/>
          <w:szCs w:val="32"/>
          <w:u w:val="none" w:color="auto"/>
          <w:lang w:eastAsia="zh-CN"/>
        </w:rPr>
        <w:t>开发区成品油销售呈上涨趋势，</w:t>
      </w:r>
      <w:r>
        <w:rPr>
          <w:rFonts w:hint="eastAsia" w:ascii="Times New Roman" w:hAnsi="Times New Roman" w:eastAsia="方正仿宋简体" w:cs="Times New Roman"/>
          <w:color w:val="auto"/>
          <w:sz w:val="32"/>
          <w:szCs w:val="32"/>
          <w:u w:val="none" w:color="auto"/>
          <w:lang w:val="en-US" w:eastAsia="zh-CN"/>
        </w:rPr>
        <w:t>22座加油站</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成品油销量</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约</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4.</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5</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万吨，同比增长10.1%，其中汽油销量约3.</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3</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6万吨，同比增长14.7%，柴油销量约1.</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1</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4万吨，同比增长0.82%。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u w:val="none" w:color="auto"/>
        </w:rPr>
      </w:pPr>
      <w:r>
        <w:rPr>
          <w:rFonts w:hint="eastAsia" w:ascii="方正楷体简体" w:hAnsi="方正楷体简体" w:eastAsia="方正楷体简体" w:cs="方正楷体简体"/>
          <w:b w:val="0"/>
          <w:bCs w:val="0"/>
          <w:color w:val="auto"/>
          <w:sz w:val="32"/>
          <w:szCs w:val="32"/>
          <w:u w:val="none" w:color="auto"/>
          <w:lang w:eastAsia="zh-CN"/>
        </w:rPr>
        <w:t>（四）消费促进活动收效显著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u w:val="none" w:color="auto"/>
          <w:lang w:val="en-US" w:eastAsia="zh-CN"/>
        </w:rPr>
      </w:pP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2021年开发区家具建材行业消费促进活动成效显著，居然之家共举办消费促进活动11次，营业额2232.17万元。红星美凯龙举办消费促进活动6次，营业额965.98万元。其中，5月1日—4日消费促进月活动期间，居然之家和红星美凯龙</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通过现场实体店面销售和“线上”销售，</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实现</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销售额</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496.45</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万</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元；中秋、十一“两节”期间，居然之家和红星美凯龙</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通过现场实体店面销售和“线上”销售，</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实现</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销售额</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536.52</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万</w:t>
      </w:r>
      <w:r>
        <w:rPr>
          <w:rFonts w:hint="eastAsia" w:ascii="Times New Roman" w:hAnsi="Times New Roman" w:eastAsia="方正仿宋简体" w:cs="Times New Roman"/>
          <w:b w:val="0"/>
          <w:bCs w:val="0"/>
          <w:i w:val="0"/>
          <w:iCs w:val="0"/>
          <w:caps w:val="0"/>
          <w:color w:val="auto"/>
          <w:spacing w:val="0"/>
          <w:w w:val="100"/>
          <w:sz w:val="32"/>
          <w:szCs w:val="32"/>
          <w:u w:val="none" w:color="auto"/>
          <w:lang w:val="en-US" w:eastAsia="zh-CN"/>
        </w:rPr>
        <w:t>元</w:t>
      </w:r>
      <w:r>
        <w:rPr>
          <w:rFonts w:hint="default" w:ascii="Times New Roman" w:hAnsi="Times New Roman" w:eastAsia="方正仿宋简体" w:cs="Times New Roman"/>
          <w:b w:val="0"/>
          <w:bCs w:val="0"/>
          <w:i w:val="0"/>
          <w:iCs w:val="0"/>
          <w:caps w:val="0"/>
          <w:color w:val="auto"/>
          <w:spacing w:val="0"/>
          <w:w w:val="100"/>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u w:val="none" w:color="auto"/>
          <w:lang w:val="en-US" w:eastAsia="zh-CN"/>
        </w:rPr>
      </w:pPr>
      <w:r>
        <w:rPr>
          <w:rFonts w:hint="eastAsia" w:ascii="方正楷体简体" w:hAnsi="方正楷体简体" w:eastAsia="方正楷体简体" w:cs="方正楷体简体"/>
          <w:b w:val="0"/>
          <w:bCs w:val="0"/>
          <w:color w:val="auto"/>
          <w:sz w:val="32"/>
          <w:szCs w:val="32"/>
          <w:u w:val="none" w:color="auto"/>
          <w:lang w:val="en-US" w:eastAsia="zh-CN"/>
        </w:rPr>
        <w:t>（五）电商活动精彩纷呈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一是通辽市“2021网上年货节”活动期间，组织开发区电商企业利用抖音、快手、淘宝等直播平台，通过企业自有主播带货和年货促销结合的形式宣传引流，有效提升转化率，引导成交金额达3500余万元；二是</w:t>
      </w:r>
      <w:r>
        <w:rPr>
          <w:rFonts w:hint="eastAsia" w:ascii="方正仿宋简体" w:hAnsi="方正仿宋简体" w:eastAsia="方正仿宋简体" w:cs="方正仿宋简体"/>
          <w:b w:val="0"/>
          <w:bCs w:val="0"/>
          <w:sz w:val="32"/>
          <w:szCs w:val="32"/>
          <w:u w:val="none" w:color="auto"/>
          <w:lang w:eastAsia="zh-CN"/>
        </w:rPr>
        <w:t>开发区“乡村振兴</w:t>
      </w:r>
      <w:r>
        <w:rPr>
          <w:rFonts w:hint="eastAsia" w:ascii="方正仿宋简体" w:hAnsi="方正仿宋简体" w:eastAsia="方正仿宋简体" w:cs="方正仿宋简体"/>
          <w:b w:val="0"/>
          <w:bCs w:val="0"/>
          <w:sz w:val="32"/>
          <w:szCs w:val="32"/>
          <w:u w:val="none" w:color="auto"/>
          <w:lang w:val="en-US" w:eastAsia="zh-CN"/>
        </w:rPr>
        <w:t>.你我同行</w:t>
      </w:r>
      <w:r>
        <w:rPr>
          <w:rFonts w:hint="eastAsia" w:ascii="方正仿宋简体" w:hAnsi="方正仿宋简体" w:eastAsia="方正仿宋简体" w:cs="方正仿宋简体"/>
          <w:b w:val="0"/>
          <w:bCs w:val="0"/>
          <w:sz w:val="32"/>
          <w:szCs w:val="32"/>
          <w:u w:val="none" w:color="auto"/>
          <w:lang w:eastAsia="zh-CN"/>
        </w:rPr>
        <w:t>”</w:t>
      </w:r>
      <w:r>
        <w:rPr>
          <w:rFonts w:hint="eastAsia" w:ascii="方正仿宋简体" w:hAnsi="方正仿宋简体" w:eastAsia="方正仿宋简体" w:cs="方正仿宋简体"/>
          <w:b w:val="0"/>
          <w:bCs w:val="0"/>
          <w:sz w:val="32"/>
          <w:szCs w:val="32"/>
          <w:u w:val="none" w:color="auto"/>
        </w:rPr>
        <w:t>公益直播活动</w:t>
      </w:r>
      <w:r>
        <w:rPr>
          <w:rFonts w:hint="eastAsia" w:ascii="方正仿宋简体" w:hAnsi="方正仿宋简体" w:eastAsia="方正仿宋简体" w:cs="方正仿宋简体"/>
          <w:b w:val="0"/>
          <w:bCs w:val="0"/>
          <w:sz w:val="32"/>
          <w:szCs w:val="32"/>
          <w:u w:val="none" w:color="auto"/>
          <w:lang w:eastAsia="zh-CN"/>
        </w:rPr>
        <w:t>，通过此次活动，</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以品牌引领为切入点，立足开发区乡村振兴发展战略，通过电商直播，进一步拓宽开发区农畜产品的销售渠道，为品牌建设和产业升级提供专业有效的服务，促进开发区企业升级和经济转型发展。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方正黑体简体" w:hAnsi="方正黑体简体" w:eastAsia="方正黑体简体" w:cs="方正黑体简体"/>
          <w:b w:val="0"/>
          <w:bCs w:val="0"/>
          <w:color w:val="auto"/>
          <w:sz w:val="32"/>
          <w:szCs w:val="32"/>
          <w:u w:val="none" w:color="auto"/>
          <w:lang w:val="en-US" w:eastAsia="zh-CN"/>
        </w:rPr>
        <w:t>三、物流业稳中有升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u w:val="none" w:color="auto"/>
          <w:lang w:val="en-US" w:eastAsia="zh-CN"/>
        </w:rPr>
      </w:pP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2021年</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开发区铁路累计完成货物</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到发</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量</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256.9</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万吨，同比增长</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25.5</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w:t>
      </w:r>
      <w:r>
        <w:rPr>
          <w:rFonts w:hint="default" w:ascii="Times New Roman" w:hAnsi="Times New Roman" w:eastAsia="方正仿宋简体" w:cs="Times New Roman"/>
          <w:b w:val="0"/>
          <w:bCs w:val="0"/>
          <w:i w:val="0"/>
          <w:caps w:val="0"/>
          <w:color w:val="auto"/>
          <w:spacing w:val="0"/>
          <w:w w:val="100"/>
          <w:sz w:val="32"/>
          <w:szCs w:val="32"/>
          <w:u w:val="none" w:color="auto"/>
        </w:rPr>
        <w:t>货物主要以粮食</w:t>
      </w:r>
      <w:r>
        <w:rPr>
          <w:rFonts w:hint="eastAsia" w:ascii="Times New Roman" w:hAnsi="Times New Roman" w:eastAsia="方正仿宋简体" w:cs="Times New Roman"/>
          <w:b w:val="0"/>
          <w:bCs w:val="0"/>
          <w:i w:val="0"/>
          <w:caps w:val="0"/>
          <w:color w:val="auto"/>
          <w:spacing w:val="0"/>
          <w:w w:val="100"/>
          <w:sz w:val="32"/>
          <w:szCs w:val="32"/>
          <w:u w:val="none" w:color="auto"/>
          <w:lang w:eastAsia="zh-CN"/>
        </w:rPr>
        <w:t>、</w:t>
      </w:r>
      <w:r>
        <w:rPr>
          <w:rFonts w:hint="default" w:ascii="Times New Roman" w:hAnsi="Times New Roman" w:eastAsia="方正仿宋简体" w:cs="Times New Roman"/>
          <w:b w:val="0"/>
          <w:bCs w:val="0"/>
          <w:i w:val="0"/>
          <w:caps w:val="0"/>
          <w:color w:val="auto"/>
          <w:spacing w:val="0"/>
          <w:w w:val="100"/>
          <w:sz w:val="32"/>
          <w:szCs w:val="32"/>
          <w:u w:val="none" w:color="auto"/>
        </w:rPr>
        <w:t>焦炭</w:t>
      </w:r>
      <w:r>
        <w:rPr>
          <w:rFonts w:hint="default" w:ascii="Times New Roman" w:hAnsi="Times New Roman" w:eastAsia="方正仿宋简体" w:cs="Times New Roman"/>
          <w:b w:val="0"/>
          <w:bCs w:val="0"/>
          <w:i w:val="0"/>
          <w:caps w:val="0"/>
          <w:color w:val="auto"/>
          <w:spacing w:val="0"/>
          <w:w w:val="100"/>
          <w:sz w:val="32"/>
          <w:szCs w:val="32"/>
          <w:u w:val="none" w:color="auto"/>
          <w:lang w:eastAsia="zh-CN"/>
        </w:rPr>
        <w:t>、</w:t>
      </w:r>
      <w:r>
        <w:rPr>
          <w:rFonts w:hint="default" w:ascii="Times New Roman" w:hAnsi="Times New Roman" w:eastAsia="方正仿宋简体" w:cs="Times New Roman"/>
          <w:b w:val="0"/>
          <w:bCs w:val="0"/>
          <w:i w:val="0"/>
          <w:caps w:val="0"/>
          <w:color w:val="auto"/>
          <w:spacing w:val="0"/>
          <w:w w:val="100"/>
          <w:sz w:val="32"/>
          <w:szCs w:val="32"/>
          <w:u w:val="none" w:color="auto"/>
        </w:rPr>
        <w:t>集装箱</w:t>
      </w:r>
      <w:r>
        <w:rPr>
          <w:rFonts w:hint="default" w:ascii="Times New Roman" w:hAnsi="Times New Roman" w:eastAsia="方正仿宋简体" w:cs="Times New Roman"/>
          <w:b w:val="0"/>
          <w:bCs w:val="0"/>
          <w:i w:val="0"/>
          <w:caps w:val="0"/>
          <w:color w:val="auto"/>
          <w:spacing w:val="0"/>
          <w:w w:val="100"/>
          <w:sz w:val="32"/>
          <w:szCs w:val="32"/>
          <w:u w:val="none" w:color="auto"/>
          <w:lang w:eastAsia="zh-CN"/>
        </w:rPr>
        <w:t>、</w:t>
      </w:r>
      <w:r>
        <w:rPr>
          <w:rFonts w:hint="default" w:ascii="Times New Roman" w:hAnsi="Times New Roman" w:eastAsia="方正仿宋简体" w:cs="Times New Roman"/>
          <w:b w:val="0"/>
          <w:bCs w:val="0"/>
          <w:i w:val="0"/>
          <w:caps w:val="0"/>
          <w:color w:val="auto"/>
          <w:spacing w:val="0"/>
          <w:w w:val="100"/>
          <w:sz w:val="32"/>
          <w:szCs w:val="32"/>
          <w:u w:val="none" w:color="auto"/>
        </w:rPr>
        <w:t>建筑材料（河沙、木材）、化肥、金属品、饮食品</w:t>
      </w:r>
      <w:r>
        <w:rPr>
          <w:rFonts w:hint="default" w:ascii="Times New Roman" w:hAnsi="Times New Roman" w:eastAsia="方正仿宋简体" w:cs="Times New Roman"/>
          <w:b w:val="0"/>
          <w:bCs w:val="0"/>
          <w:i w:val="0"/>
          <w:caps w:val="0"/>
          <w:color w:val="auto"/>
          <w:spacing w:val="0"/>
          <w:w w:val="100"/>
          <w:sz w:val="32"/>
          <w:szCs w:val="32"/>
          <w:u w:val="none" w:color="auto"/>
          <w:lang w:eastAsia="zh-CN"/>
        </w:rPr>
        <w:t>为主。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u w:val="none" w:color="auto"/>
          <w:lang w:val="en-US" w:eastAsia="zh-CN"/>
        </w:rPr>
      </w:pPr>
      <w:r>
        <w:rPr>
          <w:rFonts w:hint="default" w:ascii="Times New Roman" w:hAnsi="Times New Roman" w:eastAsia="方正仿宋简体" w:cs="Times New Roman"/>
          <w:b/>
          <w:bCs/>
          <w:i w:val="0"/>
          <w:caps w:val="0"/>
          <w:color w:val="auto"/>
          <w:spacing w:val="0"/>
          <w:kern w:val="0"/>
          <w:sz w:val="32"/>
          <w:szCs w:val="32"/>
          <w:u w:val="none" w:color="auto"/>
          <w:shd w:val="clear" w:fill="FFFFFF"/>
          <w:lang w:val="en-US" w:eastAsia="zh-CN" w:bidi="ar"/>
        </w:rPr>
        <w:t>通辽内陆港</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全年</w:t>
      </w:r>
      <w:r>
        <w:rPr>
          <w:rFonts w:hint="default"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完成到发货</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量125</w:t>
      </w:r>
      <w:r>
        <w:rPr>
          <w:rFonts w:hint="default"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万吨，同比增长</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5</w:t>
      </w:r>
      <w:r>
        <w:rPr>
          <w:rFonts w:hint="default"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%，营业收入</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7746</w:t>
      </w:r>
      <w:r>
        <w:rPr>
          <w:rFonts w:hint="default"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万元</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w:t>
      </w:r>
      <w:r>
        <w:rPr>
          <w:rFonts w:hint="default" w:ascii="Times New Roman" w:hAnsi="Times New Roman" w:eastAsia="方正仿宋简体" w:cs="Times New Roman"/>
          <w:b/>
          <w:bCs/>
          <w:i w:val="0"/>
          <w:caps w:val="0"/>
          <w:color w:val="auto"/>
          <w:spacing w:val="0"/>
          <w:kern w:val="0"/>
          <w:sz w:val="32"/>
          <w:szCs w:val="32"/>
          <w:u w:val="none" w:color="auto"/>
          <w:shd w:val="clear" w:fill="FFFFFF"/>
          <w:lang w:val="en-US" w:eastAsia="zh-CN" w:bidi="ar"/>
        </w:rPr>
        <w:t>内蒙古泽强医药有限公司</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2021年新增直营门店95</w:t>
      </w:r>
      <w:r>
        <w:rPr>
          <w:rFonts w:hint="default"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家</w:t>
      </w:r>
      <w:r>
        <w:rPr>
          <w:rFonts w:hint="eastAsia" w:ascii="Times New Roman" w:hAnsi="Times New Roman" w:eastAsia="方正仿宋简体" w:cs="Times New Roman"/>
          <w:b w:val="0"/>
          <w:i w:val="0"/>
          <w:caps w:val="0"/>
          <w:color w:val="auto"/>
          <w:spacing w:val="0"/>
          <w:kern w:val="0"/>
          <w:sz w:val="32"/>
          <w:szCs w:val="32"/>
          <w:u w:val="none" w:color="auto"/>
          <w:shd w:val="clear" w:fill="FFFFFF"/>
          <w:lang w:val="en-US" w:eastAsia="zh-CN" w:bidi="ar"/>
        </w:rPr>
        <w:t>，现有直营门店500家，</w:t>
      </w:r>
      <w:r>
        <w:rPr>
          <w:rFonts w:hint="eastAsia" w:ascii="Times New Roman" w:hAnsi="Times New Roman" w:eastAsia="方正仿宋简体" w:cs="Times New Roman"/>
          <w:color w:val="auto"/>
          <w:sz w:val="32"/>
          <w:szCs w:val="32"/>
          <w:u w:val="none" w:color="auto"/>
          <w:lang w:val="en-US" w:eastAsia="zh-CN"/>
        </w:rPr>
        <w:t>全年</w:t>
      </w:r>
      <w:r>
        <w:rPr>
          <w:rFonts w:hint="default" w:ascii="Times New Roman" w:hAnsi="Times New Roman" w:eastAsia="方正仿宋简体" w:cs="Times New Roman"/>
          <w:color w:val="auto"/>
          <w:sz w:val="32"/>
          <w:szCs w:val="32"/>
          <w:u w:val="none" w:color="auto"/>
          <w:lang w:val="en-US" w:eastAsia="zh-CN"/>
        </w:rPr>
        <w:t>营业额</w:t>
      </w:r>
      <w:r>
        <w:rPr>
          <w:rFonts w:hint="eastAsia" w:ascii="Times New Roman" w:hAnsi="Times New Roman" w:eastAsia="方正仿宋简体" w:cs="Times New Roman"/>
          <w:color w:val="auto"/>
          <w:sz w:val="32"/>
          <w:szCs w:val="32"/>
          <w:u w:val="none" w:color="auto"/>
          <w:lang w:val="en-US" w:eastAsia="zh-CN"/>
        </w:rPr>
        <w:t>12.6</w:t>
      </w:r>
      <w:r>
        <w:rPr>
          <w:rFonts w:hint="default" w:ascii="Times New Roman" w:hAnsi="Times New Roman" w:eastAsia="方正仿宋简体" w:cs="Times New Roman"/>
          <w:color w:val="auto"/>
          <w:sz w:val="32"/>
          <w:szCs w:val="32"/>
          <w:u w:val="none" w:color="auto"/>
          <w:lang w:val="en-US" w:eastAsia="zh-CN"/>
        </w:rPr>
        <w:t>亿元</w:t>
      </w:r>
      <w:r>
        <w:rPr>
          <w:rFonts w:hint="eastAsia" w:ascii="Times New Roman" w:hAnsi="Times New Roman" w:eastAsia="方正仿宋简体" w:cs="Times New Roman"/>
          <w:color w:val="auto"/>
          <w:sz w:val="32"/>
          <w:szCs w:val="32"/>
          <w:u w:val="none" w:color="auto"/>
          <w:lang w:val="en-US" w:eastAsia="zh-CN"/>
        </w:rPr>
        <w:t>，同比增长9.2%；</w:t>
      </w:r>
      <w:r>
        <w:rPr>
          <w:rFonts w:hint="eastAsia" w:ascii="Times New Roman" w:hAnsi="Times New Roman" w:eastAsia="方正仿宋简体" w:cs="Times New Roman"/>
          <w:b/>
          <w:bCs/>
          <w:color w:val="auto"/>
          <w:sz w:val="32"/>
          <w:szCs w:val="32"/>
          <w:u w:val="none" w:color="auto"/>
          <w:lang w:val="en-US" w:eastAsia="zh-CN"/>
        </w:rPr>
        <w:t>瑞丰物流园</w:t>
      </w:r>
      <w:r>
        <w:rPr>
          <w:rFonts w:hint="eastAsia" w:ascii="Times New Roman" w:hAnsi="Times New Roman" w:eastAsia="方正仿宋简体" w:cs="Times New Roman"/>
          <w:color w:val="auto"/>
          <w:sz w:val="32"/>
          <w:szCs w:val="32"/>
          <w:u w:val="none" w:color="auto"/>
          <w:lang w:val="en-US" w:eastAsia="zh-CN"/>
        </w:rPr>
        <w:t>投资1000万元建设的6200平方米仓储库已投入使用，并和京东物流、德邦物流签订租赁协议。4000平方米罩棚，计划招商进驻零担、专线物流企业。2021年与江苏聚盟物流签订战略合作协议，以园区为基础，打造稳定、高效、经济的全直达运输体系，逐步实现城市配送及旗县配送业务体系，下一步计划开通部分旗县货运班车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u w:val="none" w:color="auto"/>
          <w:lang w:val="en-US" w:eastAsia="zh-CN"/>
        </w:rPr>
      </w:pPr>
      <w:r>
        <w:rPr>
          <w:rFonts w:hint="eastAsia" w:ascii="方正黑体简体" w:hAnsi="方正黑体简体" w:eastAsia="方正黑体简体" w:cs="方正黑体简体"/>
          <w:b w:val="0"/>
          <w:bCs w:val="0"/>
          <w:color w:val="auto"/>
          <w:sz w:val="32"/>
          <w:szCs w:val="32"/>
          <w:u w:val="none" w:color="auto"/>
          <w:lang w:val="en-US" w:eastAsia="zh-CN"/>
        </w:rPr>
        <w:t>四、对外贸易逆境上扬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u w:val="none" w:color="auto"/>
          <w:lang w:val="en-US" w:eastAsia="zh-CN"/>
        </w:rPr>
      </w:pPr>
      <w:r>
        <w:rPr>
          <w:rFonts w:hint="default" w:ascii="Times New Roman" w:hAnsi="Times New Roman" w:eastAsia="方正仿宋简体" w:cs="Times New Roman"/>
          <w:color w:val="auto"/>
          <w:sz w:val="32"/>
          <w:szCs w:val="32"/>
          <w:u w:val="none" w:color="auto"/>
          <w:lang w:val="en-US" w:eastAsia="zh-CN"/>
        </w:rPr>
        <w:t>开发区</w:t>
      </w:r>
      <w:r>
        <w:rPr>
          <w:rFonts w:hint="default" w:ascii="Times New Roman" w:hAnsi="Times New Roman" w:eastAsia="方正仿宋简体" w:cs="Times New Roman"/>
          <w:color w:val="auto"/>
          <w:sz w:val="32"/>
          <w:szCs w:val="32"/>
          <w:u w:val="none" w:color="auto"/>
        </w:rPr>
        <w:t>发生进出口业务企业6家，</w:t>
      </w:r>
      <w:r>
        <w:rPr>
          <w:rFonts w:hint="eastAsia" w:ascii="Times New Roman" w:hAnsi="Times New Roman" w:eastAsia="方正仿宋简体" w:cs="Times New Roman"/>
          <w:color w:val="auto"/>
          <w:sz w:val="32"/>
          <w:szCs w:val="32"/>
          <w:u w:val="none" w:color="auto"/>
          <w:lang w:val="en-US" w:eastAsia="zh-CN"/>
        </w:rPr>
        <w:t>2021年</w:t>
      </w:r>
      <w:r>
        <w:rPr>
          <w:rFonts w:hint="default" w:ascii="Times New Roman" w:hAnsi="Times New Roman" w:eastAsia="方正仿宋简体" w:cs="Times New Roman"/>
          <w:color w:val="auto"/>
          <w:sz w:val="32"/>
          <w:szCs w:val="32"/>
          <w:u w:val="none" w:color="auto"/>
        </w:rPr>
        <w:t>进出口总额</w:t>
      </w:r>
      <w:r>
        <w:rPr>
          <w:rFonts w:hint="eastAsia" w:ascii="Times New Roman" w:hAnsi="Times New Roman" w:eastAsia="方正仿宋简体" w:cs="Times New Roman"/>
          <w:color w:val="auto"/>
          <w:sz w:val="32"/>
          <w:szCs w:val="32"/>
          <w:u w:val="none" w:color="auto"/>
          <w:lang w:val="en-US" w:eastAsia="zh-CN"/>
        </w:rPr>
        <w:t>2.43</w:t>
      </w:r>
      <w:r>
        <w:rPr>
          <w:rFonts w:hint="default" w:ascii="Times New Roman" w:hAnsi="Times New Roman" w:eastAsia="方正仿宋简体" w:cs="Times New Roman"/>
          <w:color w:val="auto"/>
          <w:sz w:val="32"/>
          <w:szCs w:val="32"/>
          <w:u w:val="none" w:color="auto"/>
          <w:lang w:val="en-US" w:eastAsia="zh-CN"/>
        </w:rPr>
        <w:t>亿</w:t>
      </w:r>
      <w:r>
        <w:rPr>
          <w:rFonts w:hint="default" w:ascii="Times New Roman" w:hAnsi="Times New Roman" w:eastAsia="方正仿宋简体" w:cs="Times New Roman"/>
          <w:color w:val="auto"/>
          <w:sz w:val="32"/>
          <w:szCs w:val="32"/>
          <w:u w:val="none" w:color="auto"/>
        </w:rPr>
        <w:t>元，同比去年</w:t>
      </w:r>
      <w:r>
        <w:rPr>
          <w:rFonts w:hint="eastAsia" w:ascii="Times New Roman" w:hAnsi="Times New Roman" w:eastAsia="方正仿宋简体" w:cs="Times New Roman"/>
          <w:color w:val="auto"/>
          <w:sz w:val="32"/>
          <w:szCs w:val="32"/>
          <w:u w:val="none" w:color="auto"/>
          <w:lang w:val="en-US" w:eastAsia="zh-CN"/>
        </w:rPr>
        <w:t>上涨41%</w:t>
      </w:r>
      <w:r>
        <w:rPr>
          <w:rFonts w:hint="default" w:ascii="Times New Roman" w:hAnsi="Times New Roman" w:eastAsia="方正仿宋简体" w:cs="Times New Roman"/>
          <w:color w:val="auto"/>
          <w:sz w:val="32"/>
          <w:szCs w:val="32"/>
          <w:u w:val="none" w:color="auto"/>
        </w:rPr>
        <w:t>，其中</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出口额</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1.6亿元</w:t>
      </w:r>
      <w:r>
        <w:rPr>
          <w:rFonts w:hint="default" w:ascii="Times New Roman" w:hAnsi="Times New Roman" w:eastAsia="方正仿宋简体" w:cs="Times New Roman"/>
          <w:color w:val="auto"/>
          <w:sz w:val="32"/>
          <w:szCs w:val="32"/>
          <w:u w:val="none" w:color="auto"/>
        </w:rPr>
        <w:t>，</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进口额</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0.83亿</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元</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。上涨原因主要是</w:t>
      </w:r>
      <w:r>
        <w:rPr>
          <w:rFonts w:hint="eastAsia" w:ascii="Times New Roman" w:hAnsi="Times New Roman" w:eastAsia="方正仿宋简体" w:cs="Times New Roman"/>
          <w:color w:val="auto"/>
          <w:sz w:val="32"/>
          <w:szCs w:val="32"/>
          <w:u w:val="none" w:color="auto"/>
          <w:lang w:val="en-US" w:eastAsia="zh-CN"/>
        </w:rPr>
        <w:t>通辽长川制靴有限公司</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订单增多，因2021年6月份越南疫情爆发，越南工厂订单转入国内生产，以及承接福建工厂产业转移订单导致产量增加；福耀玻璃通辽有限公司新增俄罗斯订单，增加出口额0.33亿元，对建设国家向北开放的重要桥头堡迈出了新的一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u w:val="none" w:color="auto"/>
          <w:lang w:val="en-US" w:eastAsia="zh-CN"/>
        </w:rPr>
      </w:pPr>
      <w:r>
        <w:rPr>
          <w:rFonts w:hint="eastAsia" w:ascii="Times New Roman" w:hAnsi="Times New Roman" w:eastAsia="方正仿宋简体" w:cs="Times New Roman"/>
          <w:color w:val="auto"/>
          <w:sz w:val="32"/>
          <w:szCs w:val="32"/>
          <w:u w:val="none" w:color="auto"/>
          <w:lang w:val="en-US" w:eastAsia="zh-CN"/>
        </w:rPr>
        <w:t>通辽长川制靴有限公司仍占据开发区对外贸易主导地位,占开发区对外贸易总额的近80%，全年进出口总额1.93亿元，</w:t>
      </w:r>
      <w:r>
        <w:rPr>
          <w:rFonts w:hint="default" w:ascii="Times New Roman" w:hAnsi="Times New Roman" w:eastAsia="方正仿宋简体" w:cs="Times New Roman"/>
          <w:color w:val="auto"/>
          <w:sz w:val="32"/>
          <w:szCs w:val="32"/>
          <w:u w:val="none" w:color="auto"/>
        </w:rPr>
        <w:t>其中</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出口额</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1.1亿元</w:t>
      </w:r>
      <w:r>
        <w:rPr>
          <w:rFonts w:hint="default" w:ascii="Times New Roman" w:hAnsi="Times New Roman" w:eastAsia="方正仿宋简体" w:cs="Times New Roman"/>
          <w:color w:val="auto"/>
          <w:sz w:val="32"/>
          <w:szCs w:val="32"/>
          <w:u w:val="none" w:color="auto"/>
        </w:rPr>
        <w:t>，</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进口额</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0.83亿</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元</w:t>
      </w:r>
      <w:r>
        <w:rPr>
          <w:rFonts w:hint="eastAsia" w:ascii="Times New Roman" w:hAnsi="Times New Roman" w:eastAsia="方正仿宋简体" w:cs="Times New Roman"/>
          <w:b w:val="0"/>
          <w:bCs w:val="0"/>
          <w:i w:val="0"/>
          <w:caps w:val="0"/>
          <w:color w:val="auto"/>
          <w:spacing w:val="0"/>
          <w:w w:val="100"/>
          <w:sz w:val="32"/>
          <w:szCs w:val="32"/>
          <w:u w:val="none" w:color="auto"/>
          <w:lang w:val="en-US" w:eastAsia="zh-CN"/>
        </w:rPr>
        <w:t>，</w:t>
      </w:r>
      <w:r>
        <w:rPr>
          <w:rFonts w:hint="eastAsia" w:ascii="Times New Roman" w:hAnsi="Times New Roman" w:eastAsia="方正仿宋简体" w:cs="Times New Roman"/>
          <w:color w:val="auto"/>
          <w:sz w:val="32"/>
          <w:szCs w:val="32"/>
          <w:u w:val="none" w:color="auto"/>
          <w:lang w:val="en-US" w:eastAsia="zh-CN"/>
        </w:rPr>
        <w:t>分别同比上涨48%和0.81%。年销售阿迪达斯运动鞋326万双</w:t>
      </w:r>
      <w:r>
        <w:rPr>
          <w:rFonts w:hint="default" w:ascii="Times New Roman" w:hAnsi="Times New Roman" w:eastAsia="方正仿宋简体" w:cs="Times New Roman"/>
          <w:b w:val="0"/>
          <w:bCs w:val="0"/>
          <w:i w:val="0"/>
          <w:caps w:val="0"/>
          <w:color w:val="auto"/>
          <w:spacing w:val="0"/>
          <w:w w:val="100"/>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u w:val="none" w:color="auto"/>
          <w:lang w:val="en-US" w:eastAsia="zh-CN"/>
        </w:rPr>
      </w:pPr>
      <w:r>
        <w:rPr>
          <w:rFonts w:hint="eastAsia" w:ascii="方正黑体简体" w:hAnsi="方正黑体简体" w:eastAsia="方正黑体简体" w:cs="方正黑体简体"/>
          <w:color w:val="auto"/>
          <w:sz w:val="32"/>
          <w:szCs w:val="32"/>
          <w:u w:val="none" w:color="auto"/>
          <w:lang w:val="en-US" w:eastAsia="zh-CN"/>
        </w:rPr>
        <w:t>五、疫情防控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color w:val="auto"/>
          <w:sz w:val="32"/>
          <w:szCs w:val="32"/>
          <w:u w:val="none" w:color="auto"/>
          <w:lang w:val="en-US" w:eastAsia="zh-CN"/>
        </w:rPr>
      </w:pPr>
      <w:r>
        <w:rPr>
          <w:rFonts w:hint="eastAsia" w:ascii="方正楷体简体" w:hAnsi="方正楷体简体" w:eastAsia="方正楷体简体" w:cs="方正楷体简体"/>
          <w:color w:val="auto"/>
          <w:sz w:val="32"/>
          <w:szCs w:val="32"/>
          <w:u w:val="none" w:color="auto"/>
          <w:lang w:val="en-US" w:eastAsia="zh-CN"/>
        </w:rPr>
        <w:t>（一）常态化监管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u w:val="none" w:color="auto"/>
          <w:lang w:val="en-US" w:eastAsia="zh-CN"/>
        </w:rPr>
      </w:pPr>
      <w:r>
        <w:rPr>
          <w:rFonts w:hint="eastAsia" w:ascii="Times New Roman" w:hAnsi="Times New Roman" w:eastAsia="方正仿宋简体" w:cs="Times New Roman"/>
          <w:color w:val="auto"/>
          <w:sz w:val="32"/>
          <w:szCs w:val="32"/>
          <w:u w:val="none" w:color="auto"/>
          <w:lang w:val="en-US" w:eastAsia="zh-CN"/>
        </w:rPr>
        <w:t>为进一步做好疫情防控常态化工作，加强对商场、超市、农贸市场、集中仓、进口冷冻食品等各商贸流通企业的疫情防控工作的督导。</w:t>
      </w:r>
      <w:r>
        <w:rPr>
          <w:rFonts w:hint="eastAsia" w:ascii="Times New Roman" w:hAnsi="Times New Roman" w:eastAsia="方正仿宋简体" w:cs="Times New Roman"/>
          <w:b/>
          <w:bCs/>
          <w:color w:val="auto"/>
          <w:sz w:val="32"/>
          <w:szCs w:val="32"/>
          <w:u w:val="none" w:color="auto"/>
          <w:lang w:val="en-US" w:eastAsia="zh-CN"/>
        </w:rPr>
        <w:t>一是</w:t>
      </w:r>
      <w:r>
        <w:rPr>
          <w:rFonts w:hint="eastAsia" w:ascii="Times New Roman" w:hAnsi="Times New Roman" w:eastAsia="方正仿宋简体" w:cs="Times New Roman"/>
          <w:color w:val="auto"/>
          <w:sz w:val="32"/>
          <w:szCs w:val="32"/>
          <w:u w:val="none" w:color="auto"/>
          <w:lang w:val="en-US" w:eastAsia="zh-CN"/>
        </w:rPr>
        <w:t>督促企业持续做好新冠肺炎疫情防控工作常态化的思想准备和工作准备，做到领导小组不变、组织成员不变，法人为第一责任人。</w:t>
      </w:r>
      <w:r>
        <w:rPr>
          <w:rFonts w:hint="eastAsia" w:ascii="Times New Roman" w:hAnsi="Times New Roman" w:eastAsia="方正仿宋简体" w:cs="Times New Roman"/>
          <w:b/>
          <w:bCs/>
          <w:color w:val="auto"/>
          <w:sz w:val="32"/>
          <w:szCs w:val="32"/>
          <w:u w:val="none" w:color="auto"/>
          <w:lang w:val="en-US" w:eastAsia="zh-CN"/>
        </w:rPr>
        <w:t>二是</w:t>
      </w:r>
      <w:r>
        <w:rPr>
          <w:rFonts w:hint="eastAsia" w:ascii="Times New Roman" w:hAnsi="Times New Roman" w:eastAsia="方正仿宋简体" w:cs="Times New Roman"/>
          <w:color w:val="auto"/>
          <w:sz w:val="32"/>
          <w:szCs w:val="32"/>
          <w:u w:val="none" w:color="auto"/>
          <w:lang w:val="en-US" w:eastAsia="zh-CN"/>
        </w:rPr>
        <w:t>督导进入商户戴口罩、测体温、出示健康码和做好员工及顾客扫健康码、体温监测和登记、每日换气通风、清洁消毒，并要做好记录。收银处设置“一米线”，提醒顾客保持安全距离。员工及管理人员引导顾客自助购物、非接触扫码付费，减少不必要的接触；</w:t>
      </w:r>
      <w:r>
        <w:rPr>
          <w:rFonts w:hint="eastAsia" w:ascii="Times New Roman" w:hAnsi="Times New Roman" w:eastAsia="方正仿宋简体" w:cs="Times New Roman"/>
          <w:b/>
          <w:bCs/>
          <w:color w:val="auto"/>
          <w:sz w:val="32"/>
          <w:szCs w:val="32"/>
          <w:u w:val="none" w:color="auto"/>
          <w:lang w:val="en-US" w:eastAsia="zh-CN"/>
        </w:rPr>
        <w:t>三是</w:t>
      </w:r>
      <w:r>
        <w:rPr>
          <w:rFonts w:hint="eastAsia" w:ascii="Times New Roman" w:hAnsi="Times New Roman" w:eastAsia="方正仿宋简体" w:cs="Times New Roman"/>
          <w:color w:val="auto"/>
          <w:sz w:val="32"/>
          <w:szCs w:val="32"/>
          <w:u w:val="none" w:color="auto"/>
          <w:lang w:val="en-US" w:eastAsia="zh-CN"/>
        </w:rPr>
        <w:t>积极做好宣传引导。第一时间在工作群转发中高风险地区表，提醒企业，对员工近期行程做好排查工作，如有预返人员要及时上报主管部门及社区报备。印发疫情防控宣传海报共计400余份；</w:t>
      </w:r>
      <w:r>
        <w:rPr>
          <w:rFonts w:hint="eastAsia" w:ascii="Times New Roman" w:hAnsi="Times New Roman" w:eastAsia="方正仿宋简体" w:cs="Times New Roman"/>
          <w:b/>
          <w:bCs/>
          <w:color w:val="auto"/>
          <w:sz w:val="32"/>
          <w:szCs w:val="32"/>
          <w:u w:val="none" w:color="auto"/>
          <w:lang w:val="en-US" w:eastAsia="zh-CN"/>
        </w:rPr>
        <w:t>四是</w:t>
      </w:r>
      <w:r>
        <w:rPr>
          <w:rFonts w:hint="eastAsia" w:ascii="Times New Roman" w:hAnsi="Times New Roman" w:eastAsia="方正仿宋简体" w:cs="Times New Roman"/>
          <w:color w:val="auto"/>
          <w:sz w:val="32"/>
          <w:szCs w:val="32"/>
          <w:u w:val="none" w:color="auto"/>
          <w:lang w:val="en-US" w:eastAsia="zh-CN"/>
        </w:rPr>
        <w:t>持续加强市场保供监测工作。实时掌握肉禽、蔬菜、蛋奶、方便食品等市民生活必需品的供需缺口、库存量、市场价格等情况，如出现突发情况，第一时间确保市民采购需求，保证生活必需品不涨价、不断档，切实保障市场供应，维护市场平稳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color w:val="auto"/>
          <w:sz w:val="32"/>
          <w:szCs w:val="32"/>
          <w:u w:val="none" w:color="auto"/>
          <w:lang w:val="en-US" w:eastAsia="zh-CN"/>
        </w:rPr>
      </w:pPr>
      <w:r>
        <w:rPr>
          <w:rFonts w:hint="eastAsia" w:ascii="方正楷体简体" w:hAnsi="方正楷体简体" w:eastAsia="方正楷体简体" w:cs="方正楷体简体"/>
          <w:color w:val="auto"/>
          <w:sz w:val="32"/>
          <w:szCs w:val="32"/>
          <w:u w:val="none" w:color="auto"/>
          <w:lang w:val="en-US" w:eastAsia="zh-CN"/>
        </w:rPr>
        <w:t>（二）建立进口冷链集中仓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u w:val="none" w:color="auto"/>
          <w:lang w:val="en-US" w:eastAsia="zh-CN"/>
        </w:rPr>
      </w:pPr>
      <w:r>
        <w:rPr>
          <w:rFonts w:hint="eastAsia" w:ascii="Times New Roman" w:hAnsi="Times New Roman" w:eastAsia="方正仿宋简体" w:cs="Times New Roman"/>
          <w:color w:val="auto"/>
          <w:sz w:val="32"/>
          <w:szCs w:val="32"/>
          <w:u w:val="none" w:color="auto"/>
          <w:lang w:val="en-US" w:eastAsia="zh-CN"/>
        </w:rPr>
        <w:t>为加强进口冷链食品常态化疫情防控监管，有效防范疫情通过进口冷链食品输入风险，保障公众健康安全和食品产业链供应稳定，今年2月，我局与祥麟冷库签订租赁合同，租赁</w:t>
      </w:r>
      <w:r>
        <w:rPr>
          <w:rFonts w:hint="default" w:ascii="Times New Roman" w:hAnsi="Times New Roman" w:eastAsia="方正仿宋简体" w:cs="Times New Roman"/>
          <w:color w:val="auto"/>
          <w:sz w:val="32"/>
          <w:szCs w:val="32"/>
          <w:u w:val="none" w:color="auto"/>
          <w:lang w:val="en-US" w:eastAsia="zh-CN"/>
        </w:rPr>
        <w:t>冷冻储藏库5</w:t>
      </w:r>
      <w:r>
        <w:rPr>
          <w:rFonts w:hint="eastAsia" w:ascii="Times New Roman" w:hAnsi="Times New Roman" w:eastAsia="方正仿宋简体" w:cs="Times New Roman"/>
          <w:color w:val="auto"/>
          <w:sz w:val="32"/>
          <w:szCs w:val="32"/>
          <w:u w:val="none" w:color="auto"/>
          <w:lang w:val="en-US" w:eastAsia="zh-CN"/>
        </w:rPr>
        <w:t>7</w:t>
      </w:r>
      <w:r>
        <w:rPr>
          <w:rFonts w:hint="default" w:ascii="Times New Roman" w:hAnsi="Times New Roman" w:eastAsia="方正仿宋简体" w:cs="Times New Roman"/>
          <w:color w:val="auto"/>
          <w:sz w:val="32"/>
          <w:szCs w:val="32"/>
          <w:u w:val="none" w:color="auto"/>
          <w:lang w:val="en-US" w:eastAsia="zh-CN"/>
        </w:rPr>
        <w:t>0平，应急库60平</w:t>
      </w:r>
      <w:r>
        <w:rPr>
          <w:rFonts w:hint="eastAsia" w:ascii="Times New Roman" w:hAnsi="Times New Roman" w:eastAsia="方正仿宋简体" w:cs="Times New Roman"/>
          <w:color w:val="auto"/>
          <w:sz w:val="32"/>
          <w:szCs w:val="32"/>
          <w:u w:val="none" w:color="auto"/>
          <w:lang w:val="en-US" w:eastAsia="zh-CN"/>
        </w:rPr>
        <w:t>建立进口冷链集中仓。截止目前，进入集中仓并核酸检测货物6718.6吨，进出车辆1121台次，空间消杀3112立方。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color w:val="auto"/>
          <w:sz w:val="32"/>
          <w:szCs w:val="32"/>
          <w:u w:val="none" w:color="auto"/>
          <w:lang w:val="en-US" w:eastAsia="zh-CN"/>
        </w:rPr>
      </w:pPr>
      <w:r>
        <w:rPr>
          <w:rFonts w:hint="eastAsia" w:ascii="方正黑体简体" w:hAnsi="方正黑体简体" w:eastAsia="方正黑体简体" w:cs="方正黑体简体"/>
          <w:color w:val="auto"/>
          <w:sz w:val="32"/>
          <w:szCs w:val="32"/>
          <w:u w:val="none" w:color="auto"/>
          <w:lang w:val="en-US" w:eastAsia="zh-CN"/>
        </w:rPr>
        <w:t>六</w:t>
      </w:r>
      <w:bookmarkStart w:id="0" w:name="_GoBack"/>
      <w:bookmarkEnd w:id="0"/>
      <w:r>
        <w:rPr>
          <w:rFonts w:hint="eastAsia" w:ascii="方正黑体简体" w:hAnsi="方正黑体简体" w:eastAsia="方正黑体简体" w:cs="方正黑体简体"/>
          <w:color w:val="auto"/>
          <w:sz w:val="32"/>
          <w:szCs w:val="32"/>
          <w:u w:val="none" w:color="auto"/>
          <w:lang w:val="en-US" w:eastAsia="zh-CN"/>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color w:val="auto"/>
          <w:sz w:val="32"/>
          <w:szCs w:val="32"/>
          <w:u w:val="none" w:color="auto"/>
          <w:lang w:eastAsia="zh-CN"/>
        </w:rPr>
      </w:pPr>
      <w:r>
        <w:rPr>
          <w:rFonts w:hint="eastAsia" w:ascii="Times New Roman" w:hAnsi="Times New Roman" w:eastAsia="方正仿宋简体" w:cs="Times New Roman"/>
          <w:b/>
          <w:bCs/>
          <w:color w:val="auto"/>
          <w:sz w:val="32"/>
          <w:szCs w:val="32"/>
          <w:u w:val="none" w:color="auto"/>
          <w:lang w:eastAsia="zh-CN"/>
        </w:rPr>
        <w:t>一是</w:t>
      </w:r>
      <w:r>
        <w:rPr>
          <w:rFonts w:hint="eastAsia" w:ascii="Times New Roman" w:hAnsi="Times New Roman" w:eastAsia="方正仿宋简体" w:cs="Times New Roman"/>
          <w:color w:val="auto"/>
          <w:sz w:val="32"/>
          <w:szCs w:val="32"/>
          <w:u w:val="none" w:color="auto"/>
          <w:lang w:eastAsia="zh-CN"/>
        </w:rPr>
        <w:t>加大招商引资力度，</w:t>
      </w:r>
      <w:r>
        <w:rPr>
          <w:rFonts w:hint="default" w:ascii="Times New Roman" w:hAnsi="Times New Roman" w:eastAsia="方正仿宋简体" w:cs="Times New Roman"/>
          <w:color w:val="auto"/>
          <w:sz w:val="32"/>
          <w:szCs w:val="32"/>
          <w:u w:val="none" w:color="auto"/>
        </w:rPr>
        <w:t>与</w:t>
      </w:r>
      <w:r>
        <w:rPr>
          <w:rFonts w:hint="eastAsia" w:ascii="Times New Roman" w:hAnsi="Times New Roman" w:eastAsia="方正仿宋简体" w:cs="Times New Roman"/>
          <w:color w:val="auto"/>
          <w:sz w:val="32"/>
          <w:szCs w:val="32"/>
          <w:u w:val="none" w:color="auto"/>
          <w:lang w:eastAsia="zh-CN"/>
        </w:rPr>
        <w:t>红星美凯龙、大润发、万达、欧亚等国内知名的商业地产企业</w:t>
      </w:r>
      <w:r>
        <w:rPr>
          <w:rFonts w:hint="default" w:ascii="Times New Roman" w:hAnsi="Times New Roman" w:eastAsia="方正仿宋简体" w:cs="Times New Roman"/>
          <w:color w:val="auto"/>
          <w:sz w:val="32"/>
          <w:szCs w:val="32"/>
          <w:u w:val="none" w:color="auto"/>
        </w:rPr>
        <w:t>接洽，在新城区</w:t>
      </w:r>
      <w:r>
        <w:rPr>
          <w:rFonts w:hint="eastAsia" w:ascii="Times New Roman" w:hAnsi="Times New Roman" w:eastAsia="方正仿宋简体" w:cs="Times New Roman"/>
          <w:color w:val="auto"/>
          <w:sz w:val="32"/>
          <w:szCs w:val="32"/>
          <w:u w:val="none" w:color="auto"/>
          <w:lang w:eastAsia="zh-CN"/>
        </w:rPr>
        <w:t>利用闲置资产打造精品商圈，吸引国内外高端商业品牌和资源集聚，加快优化供给结构，提升供给能力，更好的满足消费需求。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val="0"/>
          <w:bCs w:val="0"/>
          <w:color w:val="auto"/>
          <w:sz w:val="32"/>
          <w:szCs w:val="32"/>
          <w:u w:val="none" w:color="auto"/>
          <w:lang w:val="en-US" w:eastAsia="zh-CN"/>
        </w:rPr>
      </w:pPr>
      <w:r>
        <w:rPr>
          <w:rFonts w:hint="eastAsia" w:ascii="Times New Roman" w:hAnsi="Times New Roman" w:eastAsia="方正仿宋简体" w:cs="Times New Roman"/>
          <w:b/>
          <w:bCs/>
          <w:color w:val="auto"/>
          <w:sz w:val="32"/>
          <w:szCs w:val="32"/>
          <w:u w:val="none" w:color="auto"/>
          <w:lang w:eastAsia="zh-CN"/>
        </w:rPr>
        <w:t>二是</w:t>
      </w:r>
      <w:r>
        <w:rPr>
          <w:rFonts w:hint="eastAsia" w:ascii="Times New Roman" w:hAnsi="Times New Roman" w:eastAsia="方正仿宋简体" w:cs="Times New Roman"/>
          <w:b w:val="0"/>
          <w:bCs w:val="0"/>
          <w:color w:val="auto"/>
          <w:sz w:val="32"/>
          <w:szCs w:val="32"/>
          <w:u w:val="none" w:color="auto"/>
          <w:lang w:val="en-US" w:eastAsia="zh-CN"/>
        </w:rPr>
        <w:t>加大项目考察力度，瞄准服装鞋帽产业，精准策划招商项目，积极对接各地服装鞋帽协会，寻找合作契机，树立敢于“招大商”、“引强资”的理念，走访大集团、大企业，广泛宣传开发区特有区位优势和政策优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简体" w:hAnsi="方正黑体简体" w:eastAsia="方正黑体简体" w:cs="方正黑体简体"/>
          <w:color w:val="auto"/>
          <w:sz w:val="32"/>
          <w:szCs w:val="32"/>
          <w:u w:val="none" w:color="auto"/>
          <w:lang w:eastAsia="zh-CN"/>
        </w:rPr>
      </w:pPr>
      <w:r>
        <w:rPr>
          <w:rFonts w:hint="eastAsia" w:ascii="Times New Roman" w:hAnsi="Times New Roman" w:eastAsia="方正仿宋简体" w:cs="Times New Roman"/>
          <w:b/>
          <w:bCs/>
          <w:color w:val="auto"/>
          <w:sz w:val="32"/>
          <w:szCs w:val="32"/>
          <w:u w:val="none" w:color="auto"/>
          <w:lang w:eastAsia="zh-CN"/>
        </w:rPr>
        <w:t>三是</w:t>
      </w:r>
      <w:r>
        <w:rPr>
          <w:rFonts w:hint="eastAsia" w:ascii="Times New Roman" w:hAnsi="Times New Roman" w:eastAsia="方正仿宋简体" w:cs="Times New Roman"/>
          <w:color w:val="auto"/>
          <w:sz w:val="32"/>
          <w:szCs w:val="32"/>
          <w:u w:val="none" w:color="auto"/>
          <w:lang w:val="en-US" w:eastAsia="zh-CN"/>
        </w:rPr>
        <w:t>引导助推，让消费促进活动更加丰富多彩，主导和</w:t>
      </w:r>
      <w:r>
        <w:rPr>
          <w:rFonts w:hint="default" w:ascii="Times New Roman" w:hAnsi="Times New Roman" w:eastAsia="方正仿宋简体" w:cs="Times New Roman"/>
          <w:color w:val="auto"/>
          <w:sz w:val="32"/>
          <w:szCs w:val="32"/>
          <w:u w:val="none" w:color="auto"/>
          <w:lang w:val="en-US" w:eastAsia="zh-CN"/>
        </w:rPr>
        <w:t>引导企业</w:t>
      </w:r>
      <w:r>
        <w:rPr>
          <w:rFonts w:hint="eastAsia" w:ascii="Times New Roman" w:hAnsi="Times New Roman" w:eastAsia="方正仿宋简体" w:cs="Times New Roman"/>
          <w:color w:val="auto"/>
          <w:sz w:val="32"/>
          <w:szCs w:val="32"/>
          <w:u w:val="none" w:color="auto"/>
          <w:lang w:val="en-US" w:eastAsia="zh-CN"/>
        </w:rPr>
        <w:t>开展</w:t>
      </w:r>
      <w:r>
        <w:rPr>
          <w:rFonts w:hint="default" w:ascii="Times New Roman" w:hAnsi="Times New Roman" w:eastAsia="方正仿宋简体" w:cs="Times New Roman"/>
          <w:color w:val="auto"/>
          <w:sz w:val="32"/>
          <w:szCs w:val="32"/>
          <w:u w:val="none" w:color="auto"/>
          <w:lang w:val="en-US" w:eastAsia="zh-CN"/>
        </w:rPr>
        <w:t>一批有主题</w:t>
      </w:r>
      <w:r>
        <w:rPr>
          <w:rFonts w:hint="eastAsia" w:ascii="Times New Roman" w:hAnsi="Times New Roman" w:eastAsia="方正仿宋简体" w:cs="Times New Roman"/>
          <w:color w:val="auto"/>
          <w:sz w:val="32"/>
          <w:szCs w:val="32"/>
          <w:u w:val="none" w:color="auto"/>
          <w:lang w:val="en-US" w:eastAsia="zh-CN"/>
        </w:rPr>
        <w:t>、</w:t>
      </w:r>
      <w:r>
        <w:rPr>
          <w:rFonts w:hint="default" w:ascii="Times New Roman" w:hAnsi="Times New Roman" w:eastAsia="方正仿宋简体" w:cs="Times New Roman"/>
          <w:color w:val="auto"/>
          <w:sz w:val="32"/>
          <w:szCs w:val="32"/>
          <w:u w:val="none" w:color="auto"/>
          <w:lang w:val="en-US" w:eastAsia="zh-CN"/>
        </w:rPr>
        <w:t>有特色的</w:t>
      </w:r>
      <w:r>
        <w:rPr>
          <w:rFonts w:hint="eastAsia" w:ascii="Times New Roman" w:hAnsi="Times New Roman" w:eastAsia="方正仿宋简体" w:cs="Times New Roman"/>
          <w:color w:val="auto"/>
          <w:sz w:val="32"/>
          <w:szCs w:val="32"/>
          <w:u w:val="none" w:color="auto"/>
          <w:lang w:val="en-US" w:eastAsia="zh-CN"/>
        </w:rPr>
        <w:t>，</w:t>
      </w:r>
      <w:r>
        <w:rPr>
          <w:rFonts w:hint="default" w:ascii="Times New Roman" w:hAnsi="Times New Roman" w:eastAsia="方正仿宋简体" w:cs="Times New Roman"/>
          <w:color w:val="auto"/>
          <w:sz w:val="32"/>
          <w:szCs w:val="32"/>
          <w:u w:val="none" w:color="auto"/>
          <w:lang w:val="en-US" w:eastAsia="zh-CN"/>
        </w:rPr>
        <w:t>以线上线下相结合</w:t>
      </w:r>
      <w:r>
        <w:rPr>
          <w:rFonts w:hint="eastAsia" w:ascii="Times New Roman" w:hAnsi="Times New Roman" w:eastAsia="方正仿宋简体" w:cs="Times New Roman"/>
          <w:color w:val="auto"/>
          <w:sz w:val="32"/>
          <w:szCs w:val="32"/>
          <w:u w:val="none" w:color="auto"/>
          <w:lang w:val="en-US" w:eastAsia="zh-CN"/>
        </w:rPr>
        <w:t>的</w:t>
      </w:r>
      <w:r>
        <w:rPr>
          <w:rFonts w:hint="default" w:ascii="Times New Roman" w:hAnsi="Times New Roman" w:eastAsia="方正仿宋简体" w:cs="Times New Roman"/>
          <w:color w:val="auto"/>
          <w:sz w:val="32"/>
          <w:szCs w:val="32"/>
          <w:u w:val="none" w:color="auto"/>
          <w:lang w:val="en-US" w:eastAsia="zh-CN"/>
        </w:rPr>
        <w:t>消费促进活动</w:t>
      </w:r>
      <w:r>
        <w:rPr>
          <w:rFonts w:hint="eastAsia" w:ascii="Times New Roman" w:hAnsi="Times New Roman" w:eastAsia="方正仿宋简体" w:cs="Times New Roman"/>
          <w:color w:val="auto"/>
          <w:sz w:val="32"/>
          <w:szCs w:val="32"/>
          <w:u w:val="none" w:color="auto"/>
          <w:lang w:val="en-US" w:eastAsia="zh-CN"/>
        </w:rPr>
        <w:t>助力经济的内循环</w:t>
      </w:r>
      <w:r>
        <w:rPr>
          <w:rFonts w:hint="default" w:ascii="Times New Roman" w:hAnsi="Times New Roman" w:eastAsia="方正仿宋简体" w:cs="Times New Roman"/>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val="0"/>
          <w:bCs w:val="0"/>
          <w:color w:val="auto"/>
          <w:sz w:val="32"/>
          <w:szCs w:val="32"/>
          <w:u w:val="none" w:color="auto"/>
          <w:lang w:val="en-US" w:eastAsia="zh-CN"/>
        </w:rPr>
      </w:pPr>
      <w:r>
        <w:rPr>
          <w:rFonts w:hint="eastAsia" w:ascii="Times New Roman" w:hAnsi="Times New Roman" w:eastAsia="方正仿宋简体" w:cs="Times New Roman"/>
          <w:b/>
          <w:bCs/>
          <w:color w:val="auto"/>
          <w:sz w:val="32"/>
          <w:szCs w:val="32"/>
          <w:u w:val="none" w:color="auto"/>
          <w:lang w:val="en-US" w:eastAsia="zh-CN"/>
        </w:rPr>
        <w:t>四是</w:t>
      </w:r>
      <w:r>
        <w:rPr>
          <w:rFonts w:hint="eastAsia" w:ascii="Times New Roman" w:hAnsi="Times New Roman" w:eastAsia="方正仿宋简体" w:cs="Times New Roman"/>
          <w:b w:val="0"/>
          <w:bCs w:val="0"/>
          <w:color w:val="auto"/>
          <w:sz w:val="32"/>
          <w:szCs w:val="32"/>
          <w:u w:val="none" w:color="auto"/>
          <w:lang w:val="en-US" w:eastAsia="zh-CN"/>
        </w:rPr>
        <w:t>扎实抓好疫情防控常态化工作，督导商贸流通企业及商户严格落实各项防控举措。认真做好市场监测工作，保证监测数据报送及时、准确。</w:t>
      </w:r>
    </w:p>
    <w:p>
      <w:pPr>
        <w:keepNext w:val="0"/>
        <w:keepLines w:val="0"/>
        <w:pageBreakBefore w:val="0"/>
        <w:kinsoku/>
        <w:wordWrap/>
        <w:overflowPunct/>
        <w:topLinePunct w:val="0"/>
        <w:autoSpaceDE/>
        <w:autoSpaceDN/>
        <w:bidi w:val="0"/>
        <w:adjustRightInd/>
        <w:snapToGrid/>
        <w:spacing w:line="560" w:lineRule="exact"/>
        <w:textAlignment w:val="auto"/>
        <w:rPr>
          <w:color w:val="auto"/>
          <w:u w:val="none" w:color="auto"/>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96565A"/>
    <w:rsid w:val="02D0315A"/>
    <w:rsid w:val="05527B2F"/>
    <w:rsid w:val="0D4A1FB0"/>
    <w:rsid w:val="0E271CCB"/>
    <w:rsid w:val="0E8B19C2"/>
    <w:rsid w:val="0F694AD2"/>
    <w:rsid w:val="0FCE4B5F"/>
    <w:rsid w:val="10CD1A24"/>
    <w:rsid w:val="10DF4ECC"/>
    <w:rsid w:val="19596BD7"/>
    <w:rsid w:val="19B87A0C"/>
    <w:rsid w:val="19D67702"/>
    <w:rsid w:val="1A1743EA"/>
    <w:rsid w:val="1A2C404E"/>
    <w:rsid w:val="1B2A115B"/>
    <w:rsid w:val="1BD93E20"/>
    <w:rsid w:val="1DE03F48"/>
    <w:rsid w:val="1EB43D4E"/>
    <w:rsid w:val="221B1C26"/>
    <w:rsid w:val="297C3D4E"/>
    <w:rsid w:val="2B533F3B"/>
    <w:rsid w:val="2EC04812"/>
    <w:rsid w:val="2F7B0DB4"/>
    <w:rsid w:val="32871698"/>
    <w:rsid w:val="35D23A78"/>
    <w:rsid w:val="38EE4497"/>
    <w:rsid w:val="39A131D7"/>
    <w:rsid w:val="3B0E5C88"/>
    <w:rsid w:val="3F1869C8"/>
    <w:rsid w:val="436F61BF"/>
    <w:rsid w:val="44B609CF"/>
    <w:rsid w:val="44C4648C"/>
    <w:rsid w:val="47373AA4"/>
    <w:rsid w:val="486E4772"/>
    <w:rsid w:val="487653DC"/>
    <w:rsid w:val="495B181D"/>
    <w:rsid w:val="4B0B408A"/>
    <w:rsid w:val="4BA40904"/>
    <w:rsid w:val="4D3C0BE9"/>
    <w:rsid w:val="4D440261"/>
    <w:rsid w:val="541B11B1"/>
    <w:rsid w:val="58C70A50"/>
    <w:rsid w:val="591E38F7"/>
    <w:rsid w:val="59995E9E"/>
    <w:rsid w:val="5A2F69BE"/>
    <w:rsid w:val="5B6133D9"/>
    <w:rsid w:val="5CBF4C94"/>
    <w:rsid w:val="5D9840A6"/>
    <w:rsid w:val="5E786A89"/>
    <w:rsid w:val="600A37BD"/>
    <w:rsid w:val="641E6213"/>
    <w:rsid w:val="67003EEA"/>
    <w:rsid w:val="67043C92"/>
    <w:rsid w:val="690910F6"/>
    <w:rsid w:val="6BCB1B1A"/>
    <w:rsid w:val="713458A6"/>
    <w:rsid w:val="716E23A7"/>
    <w:rsid w:val="731B0F81"/>
    <w:rsid w:val="75265EF0"/>
    <w:rsid w:val="76CF1A5A"/>
    <w:rsid w:val="789B3CC7"/>
    <w:rsid w:val="7D5942BE"/>
    <w:rsid w:val="7E730D2F"/>
    <w:rsid w:val="7FC957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2021-07-04T09:00:00Z</dcterms:created>
  <dc:creator>李某人</dc:creator>
  <cp:lastModifiedBy>Administrator</cp:lastModifiedBy>
  <cp:lastPrinted>2022-01-20T04:38:00Z</cp:lastPrinted>
  <dcterms:modified xsi:type="dcterms:W3CDTF">2022-03-02T00:29:07Z</dcterms:modified>
  <dc:title>2021年上半年工作总结和下半年工作计划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1EC6986AF48344F9A011E5395E292814</vt:lpwstr>
  </property>
  <property fmtid="{D5CDD505-2E9C-101B-9397-08002B2CF9AE}" pid="4" name="KSOSaveFontToCloudKey">
    <vt:lpwstr>439526360_btnclosed</vt:lpwstr>
  </property>
</Properties>
</file>