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F1" w:rsidRDefault="0095579F">
      <w:pPr>
        <w:jc w:val="center"/>
        <w:rPr>
          <w:rFonts w:asciiTheme="minorEastAsia" w:hAnsiTheme="minorEastAsia"/>
          <w:sz w:val="28"/>
          <w:szCs w:val="28"/>
        </w:rPr>
      </w:pPr>
      <w:r>
        <w:rPr>
          <w:rFonts w:asciiTheme="minorEastAsia" w:hAnsiTheme="minorEastAsia" w:hint="eastAsia"/>
          <w:b/>
          <w:sz w:val="28"/>
          <w:szCs w:val="28"/>
        </w:rPr>
        <w:t>双泡子</w:t>
      </w:r>
      <w:r w:rsidR="00A2511A">
        <w:rPr>
          <w:rFonts w:asciiTheme="minorEastAsia" w:hAnsiTheme="minorEastAsia" w:hint="eastAsia"/>
          <w:b/>
          <w:sz w:val="28"/>
          <w:szCs w:val="28"/>
        </w:rPr>
        <w:t>村开展思想建设（意识形态和网络意识形态宣）讲活动记录</w:t>
      </w:r>
    </w:p>
    <w:tbl>
      <w:tblPr>
        <w:tblStyle w:val="a6"/>
        <w:tblW w:w="8407" w:type="dxa"/>
        <w:jc w:val="center"/>
        <w:tblLayout w:type="fixed"/>
        <w:tblLook w:val="04A0" w:firstRow="1" w:lastRow="0" w:firstColumn="1" w:lastColumn="0" w:noHBand="0" w:noVBand="1"/>
      </w:tblPr>
      <w:tblGrid>
        <w:gridCol w:w="1617"/>
        <w:gridCol w:w="2528"/>
        <w:gridCol w:w="1597"/>
        <w:gridCol w:w="2665"/>
      </w:tblGrid>
      <w:tr w:rsidR="001109F1">
        <w:trPr>
          <w:trHeight w:val="1041"/>
          <w:jc w:val="center"/>
        </w:trPr>
        <w:tc>
          <w:tcPr>
            <w:tcW w:w="1617" w:type="dxa"/>
            <w:vAlign w:val="center"/>
          </w:tcPr>
          <w:p w:rsidR="001109F1" w:rsidRDefault="00A2511A">
            <w:pPr>
              <w:jc w:val="center"/>
              <w:rPr>
                <w:rFonts w:asciiTheme="minorEastAsia" w:hAnsiTheme="minorEastAsia"/>
                <w:b/>
                <w:bCs/>
                <w:sz w:val="32"/>
                <w:szCs w:val="32"/>
              </w:rPr>
            </w:pPr>
            <w:r>
              <w:rPr>
                <w:rFonts w:asciiTheme="minorEastAsia" w:hAnsiTheme="minorEastAsia"/>
                <w:b/>
                <w:bCs/>
                <w:sz w:val="32"/>
                <w:szCs w:val="32"/>
              </w:rPr>
              <w:t>内</w:t>
            </w:r>
            <w:r>
              <w:rPr>
                <w:rFonts w:asciiTheme="minorEastAsia" w:hAnsiTheme="minorEastAsia" w:hint="eastAsia"/>
                <w:b/>
                <w:bCs/>
                <w:sz w:val="32"/>
                <w:szCs w:val="32"/>
              </w:rPr>
              <w:t xml:space="preserve">   </w:t>
            </w:r>
            <w:r>
              <w:rPr>
                <w:rFonts w:asciiTheme="minorEastAsia" w:hAnsiTheme="minorEastAsia"/>
                <w:b/>
                <w:bCs/>
                <w:sz w:val="32"/>
                <w:szCs w:val="32"/>
              </w:rPr>
              <w:t>容</w:t>
            </w:r>
          </w:p>
        </w:tc>
        <w:tc>
          <w:tcPr>
            <w:tcW w:w="6790" w:type="dxa"/>
            <w:gridSpan w:val="3"/>
            <w:vAlign w:val="center"/>
          </w:tcPr>
          <w:p w:rsidR="001109F1" w:rsidRDefault="00A2511A">
            <w:pPr>
              <w:jc w:val="center"/>
              <w:rPr>
                <w:rFonts w:asciiTheme="minorEastAsia" w:hAnsiTheme="minorEastAsia"/>
                <w:b/>
                <w:bCs/>
                <w:sz w:val="32"/>
                <w:szCs w:val="32"/>
              </w:rPr>
            </w:pPr>
            <w:r>
              <w:rPr>
                <w:rFonts w:asciiTheme="minorEastAsia" w:hAnsiTheme="minorEastAsia" w:hint="eastAsia"/>
                <w:b/>
                <w:sz w:val="24"/>
                <w:szCs w:val="24"/>
              </w:rPr>
              <w:t>开展思想建设（意识形态和网络意识形态）宣讲活动记录</w:t>
            </w:r>
          </w:p>
        </w:tc>
      </w:tr>
      <w:tr w:rsidR="001109F1">
        <w:trPr>
          <w:trHeight w:val="1247"/>
          <w:jc w:val="center"/>
        </w:trPr>
        <w:tc>
          <w:tcPr>
            <w:tcW w:w="1617" w:type="dxa"/>
            <w:vAlign w:val="center"/>
          </w:tcPr>
          <w:p w:rsidR="001109F1" w:rsidRDefault="00A2511A">
            <w:pPr>
              <w:jc w:val="center"/>
              <w:rPr>
                <w:rFonts w:asciiTheme="minorEastAsia" w:hAnsiTheme="minorEastAsia"/>
                <w:b/>
                <w:bCs/>
                <w:sz w:val="32"/>
                <w:szCs w:val="32"/>
              </w:rPr>
            </w:pPr>
            <w:r>
              <w:rPr>
                <w:rFonts w:asciiTheme="minorEastAsia" w:hAnsiTheme="minorEastAsia"/>
                <w:b/>
                <w:bCs/>
                <w:sz w:val="32"/>
                <w:szCs w:val="32"/>
              </w:rPr>
              <w:t>时</w:t>
            </w:r>
            <w:r>
              <w:rPr>
                <w:rFonts w:asciiTheme="minorEastAsia" w:hAnsiTheme="minorEastAsia" w:hint="eastAsia"/>
                <w:b/>
                <w:bCs/>
                <w:sz w:val="32"/>
                <w:szCs w:val="32"/>
              </w:rPr>
              <w:t xml:space="preserve">    </w:t>
            </w:r>
            <w:r>
              <w:rPr>
                <w:rFonts w:asciiTheme="minorEastAsia" w:hAnsiTheme="minorEastAsia"/>
                <w:b/>
                <w:bCs/>
                <w:sz w:val="32"/>
                <w:szCs w:val="32"/>
              </w:rPr>
              <w:t>间</w:t>
            </w:r>
          </w:p>
        </w:tc>
        <w:tc>
          <w:tcPr>
            <w:tcW w:w="2528" w:type="dxa"/>
            <w:vAlign w:val="center"/>
          </w:tcPr>
          <w:p w:rsidR="001109F1" w:rsidRDefault="00A2511A">
            <w:pPr>
              <w:jc w:val="center"/>
              <w:rPr>
                <w:rFonts w:asciiTheme="minorEastAsia" w:eastAsia="仿宋" w:hAnsiTheme="minorEastAsia"/>
                <w:b/>
                <w:bCs/>
                <w:sz w:val="32"/>
                <w:szCs w:val="32"/>
              </w:rPr>
            </w:pPr>
            <w:r>
              <w:rPr>
                <w:rFonts w:ascii="仿宋" w:eastAsia="仿宋" w:hAnsi="仿宋" w:cs="仿宋" w:hint="eastAsia"/>
                <w:sz w:val="28"/>
                <w:szCs w:val="28"/>
              </w:rPr>
              <w:t>2022.1.25</w:t>
            </w:r>
          </w:p>
        </w:tc>
        <w:tc>
          <w:tcPr>
            <w:tcW w:w="1597" w:type="dxa"/>
            <w:vAlign w:val="center"/>
          </w:tcPr>
          <w:p w:rsidR="001109F1" w:rsidRDefault="00A2511A">
            <w:pPr>
              <w:jc w:val="center"/>
              <w:rPr>
                <w:rFonts w:asciiTheme="minorEastAsia" w:hAnsiTheme="minorEastAsia"/>
                <w:b/>
                <w:bCs/>
                <w:sz w:val="32"/>
                <w:szCs w:val="32"/>
              </w:rPr>
            </w:pPr>
            <w:r>
              <w:rPr>
                <w:rFonts w:asciiTheme="minorEastAsia" w:hAnsiTheme="minorEastAsia"/>
                <w:b/>
                <w:bCs/>
                <w:sz w:val="32"/>
                <w:szCs w:val="32"/>
              </w:rPr>
              <w:t>地</w:t>
            </w:r>
            <w:r>
              <w:rPr>
                <w:rFonts w:asciiTheme="minorEastAsia" w:hAnsiTheme="minorEastAsia" w:hint="eastAsia"/>
                <w:b/>
                <w:bCs/>
                <w:sz w:val="32"/>
                <w:szCs w:val="32"/>
              </w:rPr>
              <w:t xml:space="preserve">    </w:t>
            </w:r>
            <w:r>
              <w:rPr>
                <w:rFonts w:asciiTheme="minorEastAsia" w:hAnsiTheme="minorEastAsia"/>
                <w:b/>
                <w:bCs/>
                <w:sz w:val="32"/>
                <w:szCs w:val="32"/>
              </w:rPr>
              <w:t>点</w:t>
            </w:r>
          </w:p>
        </w:tc>
        <w:tc>
          <w:tcPr>
            <w:tcW w:w="2665" w:type="dxa"/>
            <w:vAlign w:val="center"/>
          </w:tcPr>
          <w:p w:rsidR="001109F1" w:rsidRDefault="00A2511A">
            <w:pPr>
              <w:jc w:val="center"/>
              <w:rPr>
                <w:rFonts w:ascii="仿宋" w:eastAsia="仿宋" w:hAnsi="仿宋" w:cs="仿宋"/>
                <w:sz w:val="28"/>
                <w:szCs w:val="28"/>
              </w:rPr>
            </w:pPr>
            <w:r>
              <w:rPr>
                <w:rFonts w:ascii="仿宋" w:eastAsia="仿宋" w:hAnsi="仿宋" w:cs="仿宋" w:hint="eastAsia"/>
                <w:sz w:val="28"/>
                <w:szCs w:val="28"/>
              </w:rPr>
              <w:t>村会议室</w:t>
            </w:r>
          </w:p>
        </w:tc>
      </w:tr>
      <w:tr w:rsidR="001109F1">
        <w:trPr>
          <w:trHeight w:val="860"/>
          <w:jc w:val="center"/>
        </w:trPr>
        <w:tc>
          <w:tcPr>
            <w:tcW w:w="1617" w:type="dxa"/>
            <w:vAlign w:val="center"/>
          </w:tcPr>
          <w:p w:rsidR="001109F1" w:rsidRDefault="00A2511A">
            <w:pPr>
              <w:jc w:val="center"/>
              <w:rPr>
                <w:rFonts w:asciiTheme="minorEastAsia" w:hAnsiTheme="minorEastAsia"/>
                <w:b/>
                <w:bCs/>
                <w:sz w:val="32"/>
                <w:szCs w:val="32"/>
              </w:rPr>
            </w:pPr>
            <w:r>
              <w:rPr>
                <w:rFonts w:asciiTheme="minorEastAsia" w:hAnsiTheme="minorEastAsia"/>
                <w:b/>
                <w:bCs/>
                <w:sz w:val="32"/>
                <w:szCs w:val="32"/>
              </w:rPr>
              <w:t>形</w:t>
            </w:r>
            <w:r>
              <w:rPr>
                <w:rFonts w:asciiTheme="minorEastAsia" w:hAnsiTheme="minorEastAsia" w:hint="eastAsia"/>
                <w:b/>
                <w:bCs/>
                <w:sz w:val="32"/>
                <w:szCs w:val="32"/>
              </w:rPr>
              <w:t xml:space="preserve">  </w:t>
            </w:r>
            <w:r>
              <w:rPr>
                <w:rFonts w:asciiTheme="minorEastAsia" w:hAnsiTheme="minorEastAsia"/>
                <w:b/>
                <w:bCs/>
                <w:sz w:val="32"/>
                <w:szCs w:val="32"/>
              </w:rPr>
              <w:t>式</w:t>
            </w:r>
          </w:p>
        </w:tc>
        <w:tc>
          <w:tcPr>
            <w:tcW w:w="6790" w:type="dxa"/>
            <w:gridSpan w:val="3"/>
            <w:vAlign w:val="center"/>
          </w:tcPr>
          <w:p w:rsidR="001109F1" w:rsidRDefault="00A2511A">
            <w:pPr>
              <w:jc w:val="center"/>
              <w:rPr>
                <w:rFonts w:ascii="仿宋" w:eastAsia="仿宋" w:hAnsi="仿宋" w:cs="仿宋"/>
                <w:sz w:val="28"/>
                <w:szCs w:val="28"/>
              </w:rPr>
            </w:pPr>
            <w:r>
              <w:rPr>
                <w:rFonts w:ascii="仿宋" w:eastAsia="仿宋" w:hAnsi="仿宋" w:cs="仿宋" w:hint="eastAsia"/>
                <w:sz w:val="28"/>
                <w:szCs w:val="28"/>
              </w:rPr>
              <w:t>集中学习宣传思想建设</w:t>
            </w:r>
          </w:p>
        </w:tc>
      </w:tr>
      <w:tr w:rsidR="001109F1">
        <w:trPr>
          <w:trHeight w:val="1531"/>
          <w:jc w:val="center"/>
        </w:trPr>
        <w:tc>
          <w:tcPr>
            <w:tcW w:w="1617" w:type="dxa"/>
            <w:vAlign w:val="center"/>
          </w:tcPr>
          <w:p w:rsidR="001109F1" w:rsidRDefault="00A2511A">
            <w:pPr>
              <w:jc w:val="center"/>
              <w:rPr>
                <w:rFonts w:asciiTheme="minorEastAsia" w:hAnsiTheme="minorEastAsia"/>
                <w:b/>
                <w:bCs/>
                <w:sz w:val="32"/>
                <w:szCs w:val="32"/>
              </w:rPr>
            </w:pPr>
            <w:r>
              <w:rPr>
                <w:rFonts w:asciiTheme="minorEastAsia" w:hAnsiTheme="minorEastAsia"/>
                <w:b/>
                <w:bCs/>
                <w:sz w:val="32"/>
                <w:szCs w:val="32"/>
              </w:rPr>
              <w:t>参加人员</w:t>
            </w:r>
          </w:p>
        </w:tc>
        <w:tc>
          <w:tcPr>
            <w:tcW w:w="6790" w:type="dxa"/>
            <w:gridSpan w:val="3"/>
            <w:vAlign w:val="center"/>
          </w:tcPr>
          <w:p w:rsidR="001109F1" w:rsidRDefault="00A2511A">
            <w:pPr>
              <w:jc w:val="center"/>
              <w:rPr>
                <w:rFonts w:ascii="仿宋" w:eastAsia="仿宋" w:hAnsi="仿宋" w:cs="仿宋"/>
                <w:sz w:val="28"/>
                <w:szCs w:val="28"/>
              </w:rPr>
            </w:pPr>
            <w:r>
              <w:rPr>
                <w:rFonts w:ascii="仿宋" w:eastAsia="仿宋" w:hAnsi="仿宋" w:cs="仿宋" w:hint="eastAsia"/>
                <w:sz w:val="28"/>
                <w:szCs w:val="28"/>
              </w:rPr>
              <w:t>党员、村干部</w:t>
            </w:r>
          </w:p>
        </w:tc>
      </w:tr>
      <w:tr w:rsidR="001109F1">
        <w:trPr>
          <w:cantSplit/>
          <w:trHeight w:val="7805"/>
          <w:jc w:val="center"/>
        </w:trPr>
        <w:tc>
          <w:tcPr>
            <w:tcW w:w="1617" w:type="dxa"/>
            <w:textDirection w:val="tbRlV"/>
            <w:vAlign w:val="center"/>
          </w:tcPr>
          <w:p w:rsidR="001109F1" w:rsidRDefault="00A2511A">
            <w:pPr>
              <w:ind w:left="113" w:right="113"/>
              <w:jc w:val="center"/>
              <w:rPr>
                <w:rFonts w:asciiTheme="minorEastAsia" w:hAnsiTheme="minorEastAsia"/>
                <w:b/>
                <w:bCs/>
                <w:sz w:val="32"/>
                <w:szCs w:val="32"/>
              </w:rPr>
            </w:pPr>
            <w:r>
              <w:rPr>
                <w:rFonts w:asciiTheme="minorEastAsia" w:hAnsiTheme="minorEastAsia"/>
                <w:b/>
                <w:bCs/>
                <w:sz w:val="32"/>
                <w:szCs w:val="32"/>
              </w:rPr>
              <w:t>学</w:t>
            </w:r>
            <w:r>
              <w:rPr>
                <w:rFonts w:asciiTheme="minorEastAsia" w:hAnsiTheme="minorEastAsia" w:hint="eastAsia"/>
                <w:b/>
                <w:bCs/>
                <w:sz w:val="32"/>
                <w:szCs w:val="32"/>
              </w:rPr>
              <w:t xml:space="preserve">      </w:t>
            </w:r>
            <w:r>
              <w:rPr>
                <w:rFonts w:asciiTheme="minorEastAsia" w:hAnsiTheme="minorEastAsia"/>
                <w:b/>
                <w:bCs/>
                <w:sz w:val="32"/>
                <w:szCs w:val="32"/>
              </w:rPr>
              <w:t>习</w:t>
            </w:r>
            <w:r>
              <w:rPr>
                <w:rFonts w:asciiTheme="minorEastAsia" w:hAnsiTheme="minorEastAsia" w:hint="eastAsia"/>
                <w:b/>
                <w:bCs/>
                <w:sz w:val="32"/>
                <w:szCs w:val="32"/>
              </w:rPr>
              <w:t xml:space="preserve">      </w:t>
            </w:r>
            <w:r>
              <w:rPr>
                <w:rFonts w:asciiTheme="minorEastAsia" w:hAnsiTheme="minorEastAsia"/>
                <w:b/>
                <w:bCs/>
                <w:sz w:val="32"/>
                <w:szCs w:val="32"/>
              </w:rPr>
              <w:t>记</w:t>
            </w:r>
            <w:r>
              <w:rPr>
                <w:rFonts w:asciiTheme="minorEastAsia" w:hAnsiTheme="minorEastAsia" w:hint="eastAsia"/>
                <w:b/>
                <w:bCs/>
                <w:sz w:val="32"/>
                <w:szCs w:val="32"/>
              </w:rPr>
              <w:t xml:space="preserve">      </w:t>
            </w:r>
            <w:r>
              <w:rPr>
                <w:rFonts w:asciiTheme="minorEastAsia" w:hAnsiTheme="minorEastAsia"/>
                <w:b/>
                <w:bCs/>
                <w:sz w:val="32"/>
                <w:szCs w:val="32"/>
              </w:rPr>
              <w:t>录</w:t>
            </w:r>
          </w:p>
        </w:tc>
        <w:tc>
          <w:tcPr>
            <w:tcW w:w="6790" w:type="dxa"/>
            <w:gridSpan w:val="3"/>
            <w:vAlign w:val="center"/>
          </w:tcPr>
          <w:p w:rsidR="001109F1" w:rsidRDefault="001A01C8">
            <w:pPr>
              <w:jc w:val="center"/>
              <w:rPr>
                <w:rFonts w:ascii="仿宋" w:eastAsia="仿宋" w:hAnsi="仿宋" w:cs="仿宋"/>
                <w:sz w:val="28"/>
                <w:szCs w:val="28"/>
              </w:rPr>
            </w:pPr>
            <w:bookmarkStart w:id="0" w:name="_GoBack"/>
            <w:r w:rsidRPr="001A01C8">
              <w:rPr>
                <w:rFonts w:ascii="仿宋" w:eastAsia="仿宋" w:hAnsi="仿宋" w:cs="仿宋"/>
                <w:noProof/>
                <w:sz w:val="28"/>
                <w:szCs w:val="28"/>
              </w:rPr>
              <w:drawing>
                <wp:inline distT="0" distB="0" distL="0" distR="0">
                  <wp:extent cx="3921840" cy="2941955"/>
                  <wp:effectExtent l="0" t="0" r="2540" b="0"/>
                  <wp:docPr id="1" name="图片 1" descr="C:\Users\ADMINI~1\AppData\Local\Temp\WeChat Files\f28e844652dccb372fa7a103d79f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28e844652dccb372fa7a103d79f9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3190" cy="2957971"/>
                          </a:xfrm>
                          <a:prstGeom prst="rect">
                            <a:avLst/>
                          </a:prstGeom>
                          <a:noFill/>
                          <a:ln>
                            <a:noFill/>
                          </a:ln>
                        </pic:spPr>
                      </pic:pic>
                    </a:graphicData>
                  </a:graphic>
                </wp:inline>
              </w:drawing>
            </w:r>
            <w:bookmarkEnd w:id="0"/>
          </w:p>
        </w:tc>
      </w:tr>
    </w:tbl>
    <w:p w:rsidR="001109F1" w:rsidRDefault="001109F1">
      <w:pPr>
        <w:rPr>
          <w:rFonts w:asciiTheme="minorEastAsia" w:hAnsiTheme="minorEastAsia"/>
          <w:sz w:val="22"/>
          <w:szCs w:val="32"/>
        </w:rPr>
      </w:pPr>
    </w:p>
    <w:p w:rsidR="001109F1" w:rsidRDefault="00A2511A">
      <w:pPr>
        <w:jc w:val="center"/>
        <w:rPr>
          <w:rFonts w:ascii="仿宋" w:eastAsia="仿宋" w:hAnsi="仿宋" w:cs="仿宋"/>
          <w:sz w:val="28"/>
          <w:szCs w:val="28"/>
        </w:rPr>
      </w:pPr>
      <w:r>
        <w:rPr>
          <w:rFonts w:asciiTheme="minorEastAsia" w:hAnsiTheme="minorEastAsia" w:hint="eastAsia"/>
          <w:b/>
          <w:bCs/>
          <w:sz w:val="32"/>
          <w:szCs w:val="32"/>
        </w:rPr>
        <w:lastRenderedPageBreak/>
        <w:t xml:space="preserve">宣 传 </w:t>
      </w:r>
      <w:r>
        <w:rPr>
          <w:rFonts w:asciiTheme="minorEastAsia" w:hAnsiTheme="minorEastAsia"/>
          <w:b/>
          <w:bCs/>
          <w:sz w:val="32"/>
          <w:szCs w:val="32"/>
        </w:rPr>
        <w:t>记</w:t>
      </w:r>
      <w:r>
        <w:rPr>
          <w:rFonts w:asciiTheme="minorEastAsia" w:hAnsiTheme="minorEastAsia" w:hint="eastAsia"/>
          <w:b/>
          <w:bCs/>
          <w:sz w:val="32"/>
          <w:szCs w:val="32"/>
        </w:rPr>
        <w:t xml:space="preserve"> </w:t>
      </w:r>
      <w:r>
        <w:rPr>
          <w:rFonts w:asciiTheme="minorEastAsia" w:hAnsiTheme="minorEastAsia"/>
          <w:b/>
          <w:bCs/>
          <w:sz w:val="32"/>
          <w:szCs w:val="32"/>
        </w:rPr>
        <w:t>录</w:t>
      </w:r>
    </w:p>
    <w:p w:rsidR="001109F1" w:rsidRDefault="00A2511A">
      <w:pPr>
        <w:ind w:firstLineChars="200" w:firstLine="42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蒋书记： 党的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w:t>
      </w:r>
      <w:r>
        <w:rPr>
          <w:rFonts w:asciiTheme="minorEastAsia" w:hAnsiTheme="minorEastAsia" w:cstheme="minorEastAsia" w:hint="eastAsia"/>
          <w:color w:val="333333"/>
          <w:szCs w:val="21"/>
          <w:shd w:val="clear" w:color="auto" w:fill="FFFFFF"/>
        </w:rPr>
        <w:br/>
        <w:t xml:space="preserve">　　加强思想政治引领，不断提高党员干部学习力。把学习贯彻党的十九大精神、习近平新时代中国特色社会主义思想作为首要政治任务，全面落实好学习内容、学习任务、学习目的，建立第一时间学习制度。推进“两学一做”学习教育常态化制度化，把学好用好党的十九大精神、习近平新时代中国特色社会主义思想作为必修课，以党委（党组）中心组为龙头，加强对党的十九大精神的理论研讨和学习贯彻情况的经验交流，推动各级党组织更好地用习近平新时代中国特色社会主义思想武装头脑、指导实践、推动工作。</w:t>
      </w:r>
      <w:r>
        <w:rPr>
          <w:rFonts w:asciiTheme="minorEastAsia" w:hAnsiTheme="minorEastAsia" w:cstheme="minorEastAsia" w:hint="eastAsia"/>
          <w:color w:val="333333"/>
          <w:szCs w:val="21"/>
          <w:shd w:val="clear" w:color="auto" w:fill="FFFFFF"/>
        </w:rPr>
        <w:br/>
        <w:t xml:space="preserve">　　严格落实意识形态工作责任制，不断增强党的领导力。管好党的意识形态工作，是思想建党的重要内容，意识形态工作要常抓不懈，久久为功。坚持党管媒体不动摇，提高政治站位，坚持政治家办报办刊办台办网，把社会效益放在首位，把对党负责和人民负责统一起来，把服务群众同教育引导群众结合起来，讲述好中国故事、传播好中国声音。</w:t>
      </w:r>
      <w:r>
        <w:rPr>
          <w:rFonts w:asciiTheme="minorEastAsia" w:hAnsiTheme="minorEastAsia" w:cstheme="minorEastAsia" w:hint="eastAsia"/>
          <w:color w:val="333333"/>
          <w:szCs w:val="21"/>
          <w:shd w:val="clear" w:color="auto" w:fill="FFFFFF"/>
        </w:rPr>
        <w:br/>
        <w:t xml:space="preserve">　　夯实主流意识形态工作话语权，不断增强党的号召力。加强理论创新，推动习近平新时代中国特色社会主义思想武装全党、教育人民，用马克思主义中国化最新理论成果阐释现实问题、指导现实社会，展现意识形态领域中话语体系的强大力量，增强主流意识形态的影响力号召力，形成强大的正面宣传声势。</w:t>
      </w:r>
      <w:r>
        <w:rPr>
          <w:rFonts w:asciiTheme="minorEastAsia" w:hAnsiTheme="minorEastAsia" w:cstheme="minorEastAsia" w:hint="eastAsia"/>
          <w:color w:val="333333"/>
          <w:szCs w:val="21"/>
          <w:shd w:val="clear" w:color="auto" w:fill="FFFFFF"/>
        </w:rPr>
        <w:br/>
        <w:t xml:space="preserve">　　加强网络意识形态阵地管控，不断增强党的创造力。创新网络内容建设，把提升网上正面宣传流量和水平作为主攻方向，最大限度壮大网上正能量，对宣传党和国家主流意识形态的“红色内容”，大力扶持、积极鼓励。创新“互联网+媒体”平台建设，加快推进传统媒体和新兴媒体融全发展，打造一批导向正确、具有较强影响力的新型传播平台，巩固主流意识形态。创新互联网管理，坚持“谁主管谁负责”和属地管理原则，加强对网络媒体的有效监督管理，构建有效防范、安全可靠的管控机制，牢牢掌握网上舆论工作主动权。</w:t>
      </w:r>
      <w:r>
        <w:rPr>
          <w:rFonts w:asciiTheme="minorEastAsia" w:hAnsiTheme="minorEastAsia" w:cstheme="minorEastAsia" w:hint="eastAsia"/>
          <w:color w:val="333333"/>
          <w:szCs w:val="21"/>
          <w:shd w:val="clear" w:color="auto" w:fill="FFFFFF"/>
        </w:rPr>
        <w:br/>
        <w:t xml:space="preserve">　　构建意识形态工作大格局，不断增强党的凝聚力。习近平总书记强调，办好中国的事情，关键在党。坚定不移地把党领导的意识形态工作引向深入，坚持“一盘棋”工作导向，各级党委必须充分调动各部门共同参与，统筹实现对各领域舆论工作全覆盖，始终与党委中心工作同频共振、同心同向。</w:t>
      </w:r>
      <w:r>
        <w:rPr>
          <w:rFonts w:asciiTheme="minorEastAsia" w:hAnsiTheme="minorEastAsia" w:cstheme="minorEastAsia" w:hint="eastAsia"/>
          <w:color w:val="333333"/>
          <w:szCs w:val="21"/>
          <w:shd w:val="clear" w:color="auto" w:fill="FFFFFF"/>
        </w:rPr>
        <w:br/>
        <w:t xml:space="preserve">　　加强意识形态领域工作队伍建设，不断增强党的战斗力。做好党的意识形态工作，关键在人。一是组建宣讲员队伍，深入基层广泛开展领导干部宣讲和百姓微宣讲。二是打造网评员队伍，针对社会热点难点问题，主动发声，用网民语言积极主动回应网民关切，加强正面引导，凝聚共识。三是壮大文化志愿者队伍，广泛参与服务基层文化建设和群众文化活动，用先进文化理念教育群众、引导群众。四是强化专业知识培训，提高意识形态领域舆情预判、分析、处理等能力，确保其关键时刻能站出来、顶得住、冲得上、打得赢。</w:t>
      </w:r>
    </w:p>
    <w:p w:rsidR="001109F1" w:rsidRDefault="001109F1">
      <w:pPr>
        <w:ind w:firstLineChars="200" w:firstLine="420"/>
        <w:rPr>
          <w:rFonts w:asciiTheme="minorEastAsia" w:hAnsiTheme="minorEastAsia" w:cstheme="minorEastAsia"/>
          <w:color w:val="333333"/>
          <w:szCs w:val="21"/>
          <w:shd w:val="clear" w:color="auto" w:fill="FFFFFF"/>
        </w:rPr>
      </w:pPr>
    </w:p>
    <w:p w:rsidR="001109F1" w:rsidRDefault="001109F1">
      <w:pPr>
        <w:ind w:firstLineChars="200" w:firstLine="420"/>
        <w:rPr>
          <w:rFonts w:asciiTheme="minorEastAsia" w:hAnsiTheme="minorEastAsia" w:cstheme="minorEastAsia"/>
          <w:szCs w:val="21"/>
        </w:rPr>
      </w:pPr>
    </w:p>
    <w:sectPr w:rsidR="001109F1">
      <w:pgSz w:w="11906" w:h="16838"/>
      <w:pgMar w:top="1440" w:right="1800" w:bottom="1440" w:left="1800" w:header="851" w:footer="992" w:gutter="0"/>
      <w:pgBorders w:display="notFirstPage">
        <w:top w:val="single" w:sz="4" w:space="1" w:color="auto"/>
        <w:left w:val="single" w:sz="4" w:space="4" w:color="auto"/>
        <w:bottom w:val="single" w:sz="4" w:space="1" w:color="auto"/>
        <w:right w:val="single" w:sz="4" w:space="4" w:color="auto"/>
      </w:pgBorder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3"/>
    <w:rsid w:val="0004436C"/>
    <w:rsid w:val="001109F1"/>
    <w:rsid w:val="001242E7"/>
    <w:rsid w:val="001A01C8"/>
    <w:rsid w:val="004C5AEE"/>
    <w:rsid w:val="00817F96"/>
    <w:rsid w:val="00885DF6"/>
    <w:rsid w:val="0095579F"/>
    <w:rsid w:val="009B5743"/>
    <w:rsid w:val="00A2511A"/>
    <w:rsid w:val="00BB6CEB"/>
    <w:rsid w:val="00C0314B"/>
    <w:rsid w:val="00C60805"/>
    <w:rsid w:val="0B003FCC"/>
    <w:rsid w:val="1851124E"/>
    <w:rsid w:val="197067BA"/>
    <w:rsid w:val="25E61805"/>
    <w:rsid w:val="299E061F"/>
    <w:rsid w:val="2FC605E6"/>
    <w:rsid w:val="321546B4"/>
    <w:rsid w:val="3764404C"/>
    <w:rsid w:val="39B61196"/>
    <w:rsid w:val="45C41064"/>
    <w:rsid w:val="502E5A60"/>
    <w:rsid w:val="5DD7081F"/>
    <w:rsid w:val="7FC3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A21B7-0DA3-4522-A043-51AD366A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1202</Characters>
  <Application>Microsoft Office Word</Application>
  <DocSecurity>0</DocSecurity>
  <Lines>10</Lines>
  <Paragraphs>2</Paragraphs>
  <ScaleCrop>false</ScaleCrop>
  <Company>Sky123.Org</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8</cp:revision>
  <cp:lastPrinted>2019-09-30T01:50:00Z</cp:lastPrinted>
  <dcterms:created xsi:type="dcterms:W3CDTF">2019-09-30T01:36:00Z</dcterms:created>
  <dcterms:modified xsi:type="dcterms:W3CDTF">2022-02-28T01:56:00Z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C1D8AA59BE69450FAEB2A79E5B4EBCDD</vt:lpwstr>
  </property>
</Properties>
</file>